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Pr="007C2A3B" w:rsidRDefault="00812ACC" w:rsidP="002D7F33">
      <w:pPr>
        <w:adjustRightInd w:val="0"/>
        <w:snapToGrid w:val="0"/>
        <w:ind w:left="680" w:right="680"/>
        <w:jc w:val="both"/>
        <w:rPr>
          <w:rFonts w:ascii="Arial" w:hAnsi="Arial" w:cs="Arial"/>
          <w:color w:val="3E3B38"/>
          <w:sz w:val="22"/>
          <w:szCs w:val="22"/>
        </w:rPr>
      </w:pPr>
    </w:p>
    <w:p w14:paraId="5A376E85" w14:textId="626B3A18" w:rsidR="002F64FD" w:rsidRPr="007C2A3B" w:rsidRDefault="002F64FD" w:rsidP="002D7F33">
      <w:pPr>
        <w:adjustRightInd w:val="0"/>
        <w:snapToGrid w:val="0"/>
        <w:ind w:left="680" w:right="680"/>
        <w:jc w:val="both"/>
        <w:rPr>
          <w:rFonts w:ascii="Arial" w:hAnsi="Arial" w:cs="Arial"/>
          <w:color w:val="3E3B38"/>
          <w:sz w:val="22"/>
          <w:szCs w:val="22"/>
        </w:rPr>
      </w:pPr>
    </w:p>
    <w:p w14:paraId="393FA39F" w14:textId="1A69583E" w:rsidR="002D7F33" w:rsidRPr="00C9115E" w:rsidRDefault="007C2A3B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 w:rsidRPr="00C9115E">
        <w:rPr>
          <w:rFonts w:ascii="Arial" w:hAnsi="Arial" w:cs="Arial"/>
          <w:b/>
          <w:bCs/>
          <w:color w:val="3E3B38"/>
          <w:sz w:val="36"/>
          <w:szCs w:val="36"/>
        </w:rPr>
        <w:t>Benjamin REMY</w:t>
      </w:r>
    </w:p>
    <w:p w14:paraId="6EB3632C" w14:textId="15050694" w:rsidR="003A1D74" w:rsidRPr="007C2A3B" w:rsidRDefault="007C2A3B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  <w:r w:rsidRPr="00C9115E">
        <w:rPr>
          <w:rFonts w:ascii="Arial" w:hAnsi="Arial" w:cs="Arial"/>
          <w:bCs/>
          <w:color w:val="3E3B38"/>
          <w:sz w:val="28"/>
          <w:szCs w:val="36"/>
        </w:rPr>
        <w:t>Professeur des universités en droit privé</w:t>
      </w:r>
      <w:bookmarkEnd w:id="0"/>
    </w:p>
    <w:p w14:paraId="25D09437" w14:textId="77777777" w:rsidR="00CE4422" w:rsidRPr="007C2A3B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398E5E9E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7C2A3B">
        <w:rPr>
          <w:rFonts w:ascii="Arial" w:hAnsi="Arial" w:cs="Arial"/>
          <w:b/>
          <w:bCs/>
          <w:color w:val="C00000"/>
          <w:sz w:val="20"/>
          <w:szCs w:val="20"/>
        </w:rPr>
        <w:t>Derniers ouvrages parus</w:t>
      </w:r>
    </w:p>
    <w:p w14:paraId="166FF2C3" w14:textId="77777777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D57177C" w14:textId="77777777" w:rsidR="007C2A3B" w:rsidRPr="007C2A3B" w:rsidRDefault="007C2A3B" w:rsidP="007C2A3B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C2A3B">
        <w:rPr>
          <w:rFonts w:ascii="Arial" w:hAnsi="Arial" w:cs="Arial"/>
          <w:sz w:val="18"/>
          <w:szCs w:val="18"/>
        </w:rPr>
        <w:t>Le mandat en question, (</w:t>
      </w:r>
      <w:proofErr w:type="spellStart"/>
      <w:r w:rsidRPr="007C2A3B">
        <w:rPr>
          <w:rFonts w:ascii="Arial" w:hAnsi="Arial" w:cs="Arial"/>
          <w:sz w:val="18"/>
          <w:szCs w:val="18"/>
        </w:rPr>
        <w:t>dir</w:t>
      </w:r>
      <w:proofErr w:type="spellEnd"/>
      <w:r w:rsidRPr="007C2A3B">
        <w:rPr>
          <w:rFonts w:ascii="Arial" w:hAnsi="Arial" w:cs="Arial"/>
          <w:sz w:val="18"/>
          <w:szCs w:val="18"/>
        </w:rPr>
        <w:t>.) Larcier, 2013</w:t>
      </w:r>
    </w:p>
    <w:p w14:paraId="42E74DD3" w14:textId="49A399D2" w:rsidR="003A1D74" w:rsidRPr="007C2A3B" w:rsidRDefault="007C2A3B" w:rsidP="007C2A3B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7C2A3B">
        <w:rPr>
          <w:rFonts w:ascii="Arial" w:hAnsi="Arial" w:cs="Arial"/>
          <w:sz w:val="18"/>
          <w:szCs w:val="18"/>
        </w:rPr>
        <w:t xml:space="preserve">Exception d’ordre public et mécanisme des lois de police en droit international privé, </w:t>
      </w:r>
      <w:proofErr w:type="spellStart"/>
      <w:r w:rsidRPr="007C2A3B">
        <w:rPr>
          <w:rFonts w:ascii="Arial" w:hAnsi="Arial" w:cs="Arial"/>
          <w:sz w:val="18"/>
          <w:szCs w:val="18"/>
        </w:rPr>
        <w:t>préf</w:t>
      </w:r>
      <w:proofErr w:type="spellEnd"/>
      <w:r w:rsidRPr="007C2A3B">
        <w:rPr>
          <w:rFonts w:ascii="Arial" w:hAnsi="Arial" w:cs="Arial"/>
          <w:sz w:val="18"/>
          <w:szCs w:val="18"/>
        </w:rPr>
        <w:t>. Pierre Mayer, Dalloz, Nouvelle Bibliothèque de Thèses, vol. 79, 2008</w:t>
      </w:r>
    </w:p>
    <w:p w14:paraId="2837734A" w14:textId="77777777" w:rsidR="00CE4422" w:rsidRPr="007C2A3B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DAC4B41" w14:textId="77777777" w:rsidR="00CE4422" w:rsidRPr="007C2A3B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127EED2" w14:textId="6494A30D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7C2A3B">
        <w:rPr>
          <w:rFonts w:ascii="Arial" w:hAnsi="Arial" w:cs="Arial"/>
          <w:b/>
          <w:bCs/>
          <w:color w:val="C00000"/>
          <w:sz w:val="20"/>
          <w:szCs w:val="20"/>
        </w:rPr>
        <w:t>Articles</w:t>
      </w:r>
      <w:r w:rsidR="007C2A3B" w:rsidRPr="007C2A3B">
        <w:rPr>
          <w:rFonts w:ascii="Arial" w:hAnsi="Arial" w:cs="Arial"/>
          <w:b/>
          <w:bCs/>
          <w:color w:val="C00000"/>
          <w:sz w:val="20"/>
          <w:szCs w:val="20"/>
        </w:rPr>
        <w:t> :</w:t>
      </w:r>
    </w:p>
    <w:p w14:paraId="5401D371" w14:textId="77777777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411F237" w14:textId="77777777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 xml:space="preserve">« Les obstacles financiers à l’action des États dans les procédures États-investisseurs », in La protection des investissements étrangers, vers une réaffirmation de l’État ? Actes du colloque du 2 juin 2017, </w:t>
      </w:r>
      <w:proofErr w:type="spellStart"/>
      <w:r w:rsidRPr="007C2A3B">
        <w:rPr>
          <w:rFonts w:ascii="Arial" w:hAnsi="Arial" w:cs="Arial"/>
          <w:sz w:val="18"/>
        </w:rPr>
        <w:t>Pédone</w:t>
      </w:r>
      <w:proofErr w:type="spellEnd"/>
      <w:r w:rsidRPr="007C2A3B">
        <w:rPr>
          <w:rFonts w:ascii="Arial" w:hAnsi="Arial" w:cs="Arial"/>
          <w:sz w:val="18"/>
        </w:rPr>
        <w:t>, 2018.</w:t>
      </w:r>
    </w:p>
    <w:p w14:paraId="6F861E97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6E0EEC53" w14:textId="52D6BF03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>« Les notions de prévisibilité en matière de conflit de lois – Qui de l’œuf ? Qui de la poule ? », in Mélanges en l’honneur de Pierre Mayer, Lextenso, 2015, p. 791</w:t>
      </w:r>
    </w:p>
    <w:p w14:paraId="4D8D10EE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2EC2F10F" w14:textId="232FC79C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 xml:space="preserve">« Vers un droit transnational de la preuve transcendant les traditions de civil </w:t>
      </w:r>
      <w:proofErr w:type="spellStart"/>
      <w:r w:rsidRPr="007C2A3B">
        <w:rPr>
          <w:rFonts w:ascii="Arial" w:hAnsi="Arial" w:cs="Arial"/>
          <w:sz w:val="18"/>
        </w:rPr>
        <w:t>law</w:t>
      </w:r>
      <w:proofErr w:type="spellEnd"/>
      <w:r w:rsidRPr="007C2A3B">
        <w:rPr>
          <w:rFonts w:ascii="Arial" w:hAnsi="Arial" w:cs="Arial"/>
          <w:sz w:val="18"/>
        </w:rPr>
        <w:t xml:space="preserve"> et de </w:t>
      </w:r>
      <w:proofErr w:type="spellStart"/>
      <w:r w:rsidRPr="007C2A3B">
        <w:rPr>
          <w:rFonts w:ascii="Arial" w:hAnsi="Arial" w:cs="Arial"/>
          <w:sz w:val="18"/>
        </w:rPr>
        <w:t>common</w:t>
      </w:r>
      <w:proofErr w:type="spellEnd"/>
      <w:r w:rsidRPr="007C2A3B">
        <w:rPr>
          <w:rFonts w:ascii="Arial" w:hAnsi="Arial" w:cs="Arial"/>
          <w:sz w:val="18"/>
        </w:rPr>
        <w:t xml:space="preserve"> </w:t>
      </w:r>
      <w:proofErr w:type="spellStart"/>
      <w:r w:rsidRPr="007C2A3B">
        <w:rPr>
          <w:rFonts w:ascii="Arial" w:hAnsi="Arial" w:cs="Arial"/>
          <w:sz w:val="18"/>
        </w:rPr>
        <w:t>law</w:t>
      </w:r>
      <w:proofErr w:type="spellEnd"/>
      <w:r w:rsidRPr="007C2A3B">
        <w:rPr>
          <w:rFonts w:ascii="Arial" w:hAnsi="Arial" w:cs="Arial"/>
          <w:sz w:val="18"/>
        </w:rPr>
        <w:t xml:space="preserve"> (réflexions à partir de la réglementation du contentieux international) », in Preuve : regards croisés, Colloque </w:t>
      </w:r>
      <w:proofErr w:type="spellStart"/>
      <w:r w:rsidRPr="007C2A3B">
        <w:rPr>
          <w:rFonts w:ascii="Arial" w:hAnsi="Arial" w:cs="Arial"/>
          <w:sz w:val="18"/>
        </w:rPr>
        <w:t>Grand’chambre</w:t>
      </w:r>
      <w:proofErr w:type="spellEnd"/>
      <w:r w:rsidRPr="007C2A3B">
        <w:rPr>
          <w:rFonts w:ascii="Arial" w:hAnsi="Arial" w:cs="Arial"/>
          <w:sz w:val="18"/>
        </w:rPr>
        <w:t xml:space="preserve"> de la Cour de cassation du 29 novembre 2013, Dalloz, coll. Thèmes et Commentaires, sous la </w:t>
      </w:r>
      <w:proofErr w:type="spellStart"/>
      <w:r w:rsidRPr="007C2A3B">
        <w:rPr>
          <w:rFonts w:ascii="Arial" w:hAnsi="Arial" w:cs="Arial"/>
          <w:sz w:val="18"/>
        </w:rPr>
        <w:t>dir</w:t>
      </w:r>
      <w:proofErr w:type="spellEnd"/>
      <w:r w:rsidRPr="007C2A3B">
        <w:rPr>
          <w:rFonts w:ascii="Arial" w:hAnsi="Arial" w:cs="Arial"/>
          <w:sz w:val="18"/>
        </w:rPr>
        <w:t xml:space="preserve">. de M. </w:t>
      </w:r>
      <w:proofErr w:type="spellStart"/>
      <w:r w:rsidRPr="007C2A3B">
        <w:rPr>
          <w:rFonts w:ascii="Arial" w:hAnsi="Arial" w:cs="Arial"/>
          <w:sz w:val="18"/>
        </w:rPr>
        <w:t>Mekki</w:t>
      </w:r>
      <w:proofErr w:type="spellEnd"/>
      <w:r w:rsidRPr="007C2A3B">
        <w:rPr>
          <w:rFonts w:ascii="Arial" w:hAnsi="Arial" w:cs="Arial"/>
          <w:sz w:val="18"/>
        </w:rPr>
        <w:t xml:space="preserve">, L. </w:t>
      </w:r>
      <w:proofErr w:type="spellStart"/>
      <w:r w:rsidRPr="007C2A3B">
        <w:rPr>
          <w:rFonts w:ascii="Arial" w:hAnsi="Arial" w:cs="Arial"/>
          <w:sz w:val="18"/>
        </w:rPr>
        <w:t>Cadiet</w:t>
      </w:r>
      <w:proofErr w:type="spellEnd"/>
      <w:r w:rsidRPr="007C2A3B">
        <w:rPr>
          <w:rFonts w:ascii="Arial" w:hAnsi="Arial" w:cs="Arial"/>
          <w:sz w:val="18"/>
        </w:rPr>
        <w:t xml:space="preserve"> et C. Grimaldi, 2015, p. 269</w:t>
      </w:r>
    </w:p>
    <w:p w14:paraId="52A8D782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32606C2C" w14:textId="77777777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 xml:space="preserve">« La réforme et le droit international privé » in L’ouverture du mariage aux personnes de même sexe, </w:t>
      </w:r>
      <w:proofErr w:type="spellStart"/>
      <w:r w:rsidRPr="007C2A3B">
        <w:rPr>
          <w:rFonts w:ascii="Arial" w:hAnsi="Arial" w:cs="Arial"/>
          <w:sz w:val="18"/>
        </w:rPr>
        <w:t>dir</w:t>
      </w:r>
      <w:proofErr w:type="spellEnd"/>
      <w:r w:rsidRPr="007C2A3B">
        <w:rPr>
          <w:rFonts w:ascii="Arial" w:hAnsi="Arial" w:cs="Arial"/>
          <w:sz w:val="18"/>
        </w:rPr>
        <w:t>. Y. Lequette et D. Mazeaud, éd. Panthéon-Assas, 2014, p. 183</w:t>
      </w:r>
    </w:p>
    <w:p w14:paraId="38229493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581AE463" w14:textId="31B89528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 xml:space="preserve">« Le mandat façon puzzle. Réflexions sur l’origine des difficultés liées à l’opération de qualification en matière contractuelle », in Le mandat en question, </w:t>
      </w:r>
      <w:proofErr w:type="spellStart"/>
      <w:r w:rsidRPr="007C2A3B">
        <w:rPr>
          <w:rFonts w:ascii="Arial" w:hAnsi="Arial" w:cs="Arial"/>
          <w:sz w:val="18"/>
        </w:rPr>
        <w:t>dir</w:t>
      </w:r>
      <w:proofErr w:type="spellEnd"/>
      <w:r w:rsidRPr="007C2A3B">
        <w:rPr>
          <w:rFonts w:ascii="Arial" w:hAnsi="Arial" w:cs="Arial"/>
          <w:sz w:val="18"/>
        </w:rPr>
        <w:t>. B. Remy, Bruylant, 2013, p. 95</w:t>
      </w:r>
    </w:p>
    <w:p w14:paraId="1AB8999C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0D49E9A2" w14:textId="34178F8B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>« Concurrence des procédures Etats-investisseurs », in Forum shopping et concurrence des procédures dans le contentieux international, sous la direction de Yann Kerbrat, Bruxelles-Bruylant, 2011, p. 15</w:t>
      </w:r>
    </w:p>
    <w:p w14:paraId="67949C41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33911FEE" w14:textId="6CF28EB0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>« Techniques interprétatives et systèmes de droit », RGDIP, 2011-2, p. 329</w:t>
      </w:r>
    </w:p>
    <w:p w14:paraId="6182B025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4EC97973" w14:textId="07912273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>Rapport français sur le thème « Les codifications récentes du droit international privé » pour le 18ème Congrès de Droit comparé – 18 juillet au 1er août 2010, Washington, Revue international de droit comparé, 2010, n° 2, p. 291</w:t>
      </w:r>
    </w:p>
    <w:p w14:paraId="54178A2A" w14:textId="77777777" w:rsid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</w:p>
    <w:p w14:paraId="16BF907C" w14:textId="261C4BBF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>« De la profusion à la confusion : Réflexions sur la justification des clauses d’élection de for », JDI, 2011.1, p. 51</w:t>
      </w:r>
    </w:p>
    <w:p w14:paraId="4E16B452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49D12172" w14:textId="3E5C93A9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 xml:space="preserve">« Efficacité et droit international privé », in L’efficacité et le droit, les transformations de la notion de préjudice : Regards croisés franco-japonais pour une nouvelle politique juridique des gouvernances pluridimensionnelles, sous la </w:t>
      </w:r>
      <w:proofErr w:type="spellStart"/>
      <w:r w:rsidRPr="007C2A3B">
        <w:rPr>
          <w:rFonts w:ascii="Arial" w:hAnsi="Arial" w:cs="Arial"/>
          <w:sz w:val="18"/>
        </w:rPr>
        <w:t>dir</w:t>
      </w:r>
      <w:proofErr w:type="spellEnd"/>
      <w:r w:rsidRPr="007C2A3B">
        <w:rPr>
          <w:rFonts w:ascii="Arial" w:hAnsi="Arial" w:cs="Arial"/>
          <w:sz w:val="18"/>
        </w:rPr>
        <w:t xml:space="preserve">. De K. Yoshida et M. </w:t>
      </w:r>
      <w:proofErr w:type="spellStart"/>
      <w:r w:rsidRPr="007C2A3B">
        <w:rPr>
          <w:rFonts w:ascii="Arial" w:hAnsi="Arial" w:cs="Arial"/>
          <w:sz w:val="18"/>
        </w:rPr>
        <w:t>Mekki</w:t>
      </w:r>
      <w:proofErr w:type="spellEnd"/>
      <w:r w:rsidRPr="007C2A3B">
        <w:rPr>
          <w:rFonts w:ascii="Arial" w:hAnsi="Arial" w:cs="Arial"/>
          <w:sz w:val="18"/>
        </w:rPr>
        <w:t xml:space="preserve">, </w:t>
      </w:r>
      <w:proofErr w:type="spellStart"/>
      <w:r w:rsidRPr="007C2A3B">
        <w:rPr>
          <w:rFonts w:ascii="Arial" w:hAnsi="Arial" w:cs="Arial"/>
          <w:sz w:val="18"/>
        </w:rPr>
        <w:t>Yuhikaku</w:t>
      </w:r>
      <w:proofErr w:type="spellEnd"/>
      <w:r w:rsidRPr="007C2A3B">
        <w:rPr>
          <w:rFonts w:ascii="Arial" w:hAnsi="Arial" w:cs="Arial"/>
          <w:sz w:val="18"/>
        </w:rPr>
        <w:t>, Tokyo, 2010, p. 277</w:t>
      </w:r>
    </w:p>
    <w:p w14:paraId="76FCDBFE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3B9684BE" w14:textId="1E82575A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t xml:space="preserve">« Efficacité économique et droit bancaire », in L’efficacité économique en droit, sous la </w:t>
      </w:r>
      <w:proofErr w:type="spellStart"/>
      <w:r w:rsidRPr="007C2A3B">
        <w:rPr>
          <w:rFonts w:ascii="Arial" w:hAnsi="Arial" w:cs="Arial"/>
          <w:sz w:val="18"/>
        </w:rPr>
        <w:t>dir</w:t>
      </w:r>
      <w:proofErr w:type="spellEnd"/>
      <w:r w:rsidRPr="007C2A3B">
        <w:rPr>
          <w:rFonts w:ascii="Arial" w:hAnsi="Arial" w:cs="Arial"/>
          <w:sz w:val="18"/>
        </w:rPr>
        <w:t xml:space="preserve">. S. Bollée, C. </w:t>
      </w:r>
      <w:proofErr w:type="spellStart"/>
      <w:r w:rsidRPr="007C2A3B">
        <w:rPr>
          <w:rFonts w:ascii="Arial" w:hAnsi="Arial" w:cs="Arial"/>
          <w:sz w:val="18"/>
        </w:rPr>
        <w:t>Perès</w:t>
      </w:r>
      <w:proofErr w:type="spellEnd"/>
      <w:r w:rsidRPr="007C2A3B">
        <w:rPr>
          <w:rFonts w:ascii="Arial" w:hAnsi="Arial" w:cs="Arial"/>
          <w:sz w:val="18"/>
        </w:rPr>
        <w:t xml:space="preserve"> et Y.-M. </w:t>
      </w:r>
      <w:proofErr w:type="spellStart"/>
      <w:r w:rsidRPr="007C2A3B">
        <w:rPr>
          <w:rFonts w:ascii="Arial" w:hAnsi="Arial" w:cs="Arial"/>
          <w:sz w:val="18"/>
        </w:rPr>
        <w:t>Laithier</w:t>
      </w:r>
      <w:proofErr w:type="spellEnd"/>
      <w:r w:rsidRPr="007C2A3B">
        <w:rPr>
          <w:rFonts w:ascii="Arial" w:hAnsi="Arial" w:cs="Arial"/>
          <w:sz w:val="18"/>
        </w:rPr>
        <w:t>, Economica, 2010, p. 89</w:t>
      </w:r>
    </w:p>
    <w:p w14:paraId="24472467" w14:textId="77777777" w:rsid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</w:p>
    <w:p w14:paraId="5B344C68" w14:textId="546AE7B0" w:rsidR="007C2A3B" w:rsidRPr="007C2A3B" w:rsidRDefault="007C2A3B" w:rsidP="007C2A3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7C2A3B">
        <w:rPr>
          <w:rFonts w:ascii="Arial" w:hAnsi="Arial" w:cs="Arial"/>
          <w:sz w:val="18"/>
        </w:rPr>
        <w:lastRenderedPageBreak/>
        <w:t>« Clauses de sortie de l’investisseur et article 1 du 1er protocole additionnel de la CEDH », Bulletin Joly des Sociétés, Juin 2010, n° 6, p. 594</w:t>
      </w:r>
    </w:p>
    <w:p w14:paraId="00640734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sz w:val="18"/>
        </w:rPr>
      </w:pPr>
    </w:p>
    <w:p w14:paraId="4454BB96" w14:textId="603DEAD3" w:rsid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Notes et observations :</w:t>
      </w:r>
    </w:p>
    <w:p w14:paraId="0E051100" w14:textId="77777777" w:rsidR="007C2A3B" w:rsidRPr="007C2A3B" w:rsidRDefault="007C2A3B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CDA8F26" w14:textId="77777777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i/>
          <w:iCs/>
          <w:sz w:val="18"/>
          <w:szCs w:val="18"/>
        </w:rPr>
        <w:t>Chronique de jurisprudence CIRDI, JDI, 2017, p. 215-298</w:t>
      </w:r>
    </w:p>
    <w:p w14:paraId="17B28EFB" w14:textId="3A0C334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3823F57F" w14:textId="71605BC4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12 janvier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Monsieur Joseph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Houben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La République du Burundi</w:t>
      </w:r>
      <w:r w:rsidRPr="00AB4358">
        <w:rPr>
          <w:rFonts w:ascii="Arial" w:hAnsi="Arial" w:cs="Arial"/>
          <w:sz w:val="18"/>
          <w:szCs w:val="18"/>
        </w:rPr>
        <w:t> (ICSID Case No ARB/13/17)</w:t>
      </w:r>
    </w:p>
    <w:p w14:paraId="568DD975" w14:textId="452D401C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ADC52EB" w14:textId="4E9FB27A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sur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l’annulation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 15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janvier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</w:t>
      </w:r>
      <w:r w:rsidRPr="00AB4358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 </w:t>
      </w:r>
      <w:proofErr w:type="spellStart"/>
      <w:r w:rsidRPr="00AB4358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Adem</w:t>
      </w:r>
      <w:proofErr w:type="spellEnd"/>
      <w:r w:rsidRPr="00AB4358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Dogan v. Turkmenistan</w:t>
      </w:r>
      <w:r w:rsidRPr="00AB4358">
        <w:rPr>
          <w:rFonts w:ascii="Arial" w:hAnsi="Arial" w:cs="Arial"/>
          <w:sz w:val="18"/>
          <w:szCs w:val="18"/>
          <w:lang w:val="en-US"/>
        </w:rPr>
        <w:t> (ICSID Case No ARB/09/9)</w:t>
      </w:r>
    </w:p>
    <w:p w14:paraId="1165CD0D" w14:textId="6EA934D6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97830BC" w14:textId="07854CA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sur la «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security for costs</w:t>
      </w:r>
      <w:r w:rsidRPr="00AB4358">
        <w:rPr>
          <w:rFonts w:ascii="Arial" w:hAnsi="Arial" w:cs="Arial"/>
          <w:sz w:val="18"/>
          <w:szCs w:val="18"/>
          <w:lang w:val="en-US"/>
        </w:rPr>
        <w:t xml:space="preserve"> » du 21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janvier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Transglobal Green Energy, LLC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Tranglobal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Green Panama, S.A. v. Republic of Panama</w:t>
      </w:r>
      <w:r w:rsidRPr="00AB4358">
        <w:rPr>
          <w:rFonts w:ascii="Arial" w:hAnsi="Arial" w:cs="Arial"/>
          <w:sz w:val="18"/>
          <w:szCs w:val="18"/>
          <w:lang w:val="en-US"/>
        </w:rPr>
        <w:t> (ICSID Case No ARB/13/28)</w:t>
      </w:r>
    </w:p>
    <w:p w14:paraId="62F25AEF" w14:textId="56848BC7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6977D56" w14:textId="3B9A0BD0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les mesures provisoires du 25 janvier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Valle Verde Sociedad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Financiera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S.L.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Bolivarian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Venezuela</w:t>
      </w:r>
      <w:r w:rsidRPr="00AB4358">
        <w:rPr>
          <w:rFonts w:ascii="Arial" w:hAnsi="Arial" w:cs="Arial"/>
          <w:sz w:val="18"/>
          <w:szCs w:val="18"/>
        </w:rPr>
        <w:t> (ICSID Case No ARB/12/18)</w:t>
      </w:r>
    </w:p>
    <w:p w14:paraId="7CAFFF0A" w14:textId="61681560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6D828AF" w14:textId="3C65A68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les exceptions préliminaires en application de la procédure prévue à l’article 41(5) du 27 janvier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Alvarez y Marin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Corporacion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y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otros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Panama</w:t>
      </w:r>
      <w:r w:rsidRPr="00AB4358">
        <w:rPr>
          <w:rFonts w:ascii="Arial" w:hAnsi="Arial" w:cs="Arial"/>
          <w:sz w:val="18"/>
          <w:szCs w:val="18"/>
        </w:rPr>
        <w:t> (ICSID Case No ARB/15/14)</w:t>
      </w:r>
    </w:p>
    <w:p w14:paraId="2D9D7367" w14:textId="61EA53A3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C61083E" w14:textId="50187E3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29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janvier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Tenaris S.A.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Talta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-Trading E Marketing Sociedad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Unipessoal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LDA V. Bolivarian Republic of Venezuela</w:t>
      </w:r>
      <w:r w:rsidRPr="00AB4358">
        <w:rPr>
          <w:rFonts w:ascii="Arial" w:hAnsi="Arial" w:cs="Arial"/>
          <w:sz w:val="18"/>
          <w:szCs w:val="18"/>
          <w:lang w:val="en-US"/>
        </w:rPr>
        <w:t> (ICSID Case No ARB/11/26)</w:t>
      </w:r>
    </w:p>
    <w:p w14:paraId="0185F37E" w14:textId="0342895F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ADAC866" w14:textId="302463FE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sur la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compétence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 1</w:t>
      </w:r>
      <w:r w:rsidRPr="00AB4358">
        <w:rPr>
          <w:rFonts w:ascii="Arial" w:hAnsi="Arial" w:cs="Arial"/>
          <w:sz w:val="18"/>
          <w:szCs w:val="18"/>
          <w:vertAlign w:val="superscript"/>
          <w:lang w:val="en-US"/>
        </w:rPr>
        <w:t>er</w:t>
      </w:r>
      <w:r w:rsidRPr="00AB4358">
        <w:rPr>
          <w:rFonts w:ascii="Arial" w:hAnsi="Arial" w:cs="Arial"/>
          <w:sz w:val="18"/>
          <w:szCs w:val="18"/>
          <w:lang w:val="en-US"/>
        </w:rPr>
        <w:t> 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février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Ampal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-American Israel Corp., EGI-Fund (08-10) Investors LLC, EGI-Series Investments LLC, BSS-EMG Investors LLC, and Mr. David Fischer v. Arab Republic of Egypt</w:t>
      </w:r>
      <w:r w:rsidRPr="00AB4358">
        <w:rPr>
          <w:rFonts w:ascii="Arial" w:hAnsi="Arial" w:cs="Arial"/>
          <w:sz w:val="18"/>
          <w:szCs w:val="18"/>
          <w:lang w:val="en-US"/>
        </w:rPr>
        <w:t> (ICSID Cas No ARB/12/11)</w:t>
      </w:r>
    </w:p>
    <w:p w14:paraId="06469733" w14:textId="152B3191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5D232999" w14:textId="0F9C223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l’annulation du 1</w:t>
      </w:r>
      <w:r w:rsidRPr="00AB4358">
        <w:rPr>
          <w:rFonts w:ascii="Arial" w:hAnsi="Arial" w:cs="Arial"/>
          <w:sz w:val="18"/>
          <w:szCs w:val="18"/>
          <w:vertAlign w:val="superscript"/>
        </w:rPr>
        <w:t>er</w:t>
      </w:r>
      <w:r w:rsidRPr="00AB4358">
        <w:rPr>
          <w:rFonts w:ascii="Arial" w:hAnsi="Arial" w:cs="Arial"/>
          <w:sz w:val="18"/>
          <w:szCs w:val="18"/>
        </w:rPr>
        <w:t> février 2016,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 Total S.A. v. Argentine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 ARB/04/01)</w:t>
      </w:r>
    </w:p>
    <w:p w14:paraId="28FFBF44" w14:textId="6B265084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6596C6A" w14:textId="1738AEA9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l’annulation du 5 février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EDF International S.A., SAUR International S.A. et Leon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Participaciones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Argentinas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v. Argentine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 ARB/03/23)</w:t>
      </w:r>
    </w:p>
    <w:p w14:paraId="5FA1211B" w14:textId="65055008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37FF9BA" w14:textId="06EF599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la reconsidération d’une décision antérieure du 9 février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ConocoPhillips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Petrozuata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B.V.,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ConocoPhillips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Hamaca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B. V. et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ConocoPhillips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Gulf of Paria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Bolivarian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Venezuela</w:t>
      </w:r>
      <w:r w:rsidRPr="00AB4358">
        <w:rPr>
          <w:rFonts w:ascii="Arial" w:hAnsi="Arial" w:cs="Arial"/>
          <w:sz w:val="18"/>
          <w:szCs w:val="18"/>
        </w:rPr>
        <w:t> (ICSID Case N0 ARB/07/30)</w:t>
      </w:r>
    </w:p>
    <w:p w14:paraId="1F9C2425" w14:textId="16D202D7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4237589" w14:textId="64E66D81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l’annulation du 26 février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Ioan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Micula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, Viorel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Micula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Others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v. Romania</w:t>
      </w:r>
      <w:r w:rsidRPr="00AB4358">
        <w:rPr>
          <w:rFonts w:ascii="Arial" w:hAnsi="Arial" w:cs="Arial"/>
          <w:sz w:val="18"/>
          <w:szCs w:val="18"/>
        </w:rPr>
        <w:t> (ICSID Case No ARB/05/20)</w:t>
      </w:r>
    </w:p>
    <w:p w14:paraId="1F60D74C" w14:textId="429AEF16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1303FDF" w14:textId="6716D5C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les mesures provisoires du 3 mars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Hydro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S.r.L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others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Albania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 ARB/15/28)</w:t>
      </w:r>
    </w:p>
    <w:p w14:paraId="130F2FDF" w14:textId="4C003549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8AC3A07" w14:textId="2D396286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8 mars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Içkale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Insaat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Limited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Sirketi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Turkmenistan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 ARB/10/24)</w:t>
      </w:r>
    </w:p>
    <w:p w14:paraId="123B0B58" w14:textId="164FFD16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E2ED88D" w14:textId="53AE4C33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 maintien du sursis à exécution du 8 mars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Venoklim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Holding B.V.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Bolivariana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Venezuela</w:t>
      </w:r>
      <w:r w:rsidRPr="00AB4358">
        <w:rPr>
          <w:rFonts w:ascii="Arial" w:hAnsi="Arial" w:cs="Arial"/>
          <w:sz w:val="18"/>
          <w:szCs w:val="18"/>
        </w:rPr>
        <w:t> (</w:t>
      </w:r>
      <w:proofErr w:type="spellStart"/>
      <w:r w:rsidRPr="00AB4358">
        <w:rPr>
          <w:rFonts w:ascii="Arial" w:hAnsi="Arial" w:cs="Arial"/>
          <w:sz w:val="18"/>
          <w:szCs w:val="18"/>
        </w:rPr>
        <w:t>Caso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CIADI No ARB/12/22)</w:t>
      </w:r>
    </w:p>
    <w:p w14:paraId="66369228" w14:textId="29C12E38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691E8F7" w14:textId="1298156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 maintien du sursis à exécution du 11 mars 2016,</w:t>
      </w:r>
      <w:r w:rsidRPr="00AB4358">
        <w:rPr>
          <w:rFonts w:ascii="Arial" w:hAnsi="Arial" w:cs="Arial"/>
          <w:i/>
          <w:iCs/>
          <w:sz w:val="18"/>
          <w:szCs w:val="18"/>
        </w:rPr>
        <w:t>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Flughafen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Zürich A.G. y Gestion 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Ingenieria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IDC S.A.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Bolivariana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Venezuela</w:t>
      </w:r>
      <w:r w:rsidRPr="00AB4358">
        <w:rPr>
          <w:rFonts w:ascii="Arial" w:hAnsi="Arial" w:cs="Arial"/>
          <w:sz w:val="18"/>
          <w:szCs w:val="18"/>
        </w:rPr>
        <w:t> (ICSID Case No ARB/10/19)</w:t>
      </w:r>
    </w:p>
    <w:p w14:paraId="36A31CCE" w14:textId="3C259DA6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A94D2D8" w14:textId="51C9D654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lastRenderedPageBreak/>
        <w:t>Décision sur la demande de mesures provisoires du 17 mars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Border Timber Limited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others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Zimbabwe</w:t>
      </w:r>
      <w:r w:rsidRPr="00AB4358">
        <w:rPr>
          <w:rFonts w:ascii="Arial" w:hAnsi="Arial" w:cs="Arial"/>
          <w:sz w:val="18"/>
          <w:szCs w:val="18"/>
        </w:rPr>
        <w:t> (ICSID Case No ARB/10/25) 17 mars 2016)</w:t>
      </w:r>
    </w:p>
    <w:p w14:paraId="2A69714D" w14:textId="5B5910F2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A2C5FBB" w14:textId="21660897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l’annulation du 29 mars 2016,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 Antoine Abou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Lahoud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et Leila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Bounafeh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Lahoud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contre La République Démocratique du Congo</w:t>
      </w:r>
      <w:r w:rsidRPr="00AB4358">
        <w:rPr>
          <w:rFonts w:ascii="Arial" w:hAnsi="Arial" w:cs="Arial"/>
          <w:sz w:val="18"/>
          <w:szCs w:val="18"/>
        </w:rPr>
        <w:t> (Affaire CIRDI Case No ARB/10/4)</w:t>
      </w:r>
    </w:p>
    <w:p w14:paraId="03614ABA" w14:textId="7F5A5A11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67C611D" w14:textId="3E08F0E9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4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Crystallex International Corporation v. Bolivarian Republic of Venezuela</w:t>
      </w:r>
      <w:r w:rsidRPr="00AB4358">
        <w:rPr>
          <w:rFonts w:ascii="Arial" w:hAnsi="Arial" w:cs="Arial"/>
          <w:sz w:val="18"/>
          <w:szCs w:val="18"/>
          <w:lang w:val="en-US"/>
        </w:rPr>
        <w:t> (ICSID Case No ARB(AF)/11/2)</w:t>
      </w:r>
    </w:p>
    <w:p w14:paraId="2CA6816F" w14:textId="6FE91F40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AC04862" w14:textId="6D50B28C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 maintien du sursis à exécution du 4 avril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OI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European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Group B.V. v. Venezuela</w:t>
      </w:r>
      <w:r w:rsidRPr="00AB4358">
        <w:rPr>
          <w:rFonts w:ascii="Arial" w:hAnsi="Arial" w:cs="Arial"/>
          <w:sz w:val="18"/>
          <w:szCs w:val="18"/>
        </w:rPr>
        <w:t> (ICSID Case No ARB/11/25)</w:t>
      </w:r>
    </w:p>
    <w:p w14:paraId="0DA58EE7" w14:textId="2FE654DB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367E958" w14:textId="37E22363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sur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l’annulation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 5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TECO Guatemala Holdings LLC v. Republic of Guatemala</w:t>
      </w:r>
      <w:r w:rsidRPr="00AB4358">
        <w:rPr>
          <w:rFonts w:ascii="Arial" w:hAnsi="Arial" w:cs="Arial"/>
          <w:sz w:val="18"/>
          <w:szCs w:val="18"/>
          <w:lang w:val="en-US"/>
        </w:rPr>
        <w:t> (ICSID Case No ARB/10/23)</w:t>
      </w:r>
    </w:p>
    <w:p w14:paraId="646F9C00" w14:textId="0A11E1C8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28C08D55" w14:textId="00DDE6EB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les mesures provisoires du 8 avril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Teinver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S.A., Transportes de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Cercanias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Autobuses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Urbanos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Sur S.A. v. The Argentine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 ARB/09/1)</w:t>
      </w:r>
    </w:p>
    <w:p w14:paraId="7DFACDD7" w14:textId="56E4C70F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9B7BAC0" w14:textId="3330B051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la demande de mesures provisoires du 12 mai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United Utilities (Tallinn) B.V.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Aktsiaselt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Tallinna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Vessi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Estonia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 ARB/14/24)</w:t>
      </w:r>
    </w:p>
    <w:p w14:paraId="38842527" w14:textId="727981D1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09214FF" w14:textId="1AAF8937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les mesures provisoires du 20 mai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Hydro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S.r.L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others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Albania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 ARB/15/28)</w:t>
      </w:r>
    </w:p>
    <w:p w14:paraId="3F3C4D95" w14:textId="1D240D54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77929E5" w14:textId="5340581A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3</w:t>
      </w:r>
      <w:r w:rsidRPr="00AB4358">
        <w:rPr>
          <w:rFonts w:ascii="Arial" w:hAnsi="Arial" w:cs="Arial"/>
          <w:sz w:val="18"/>
          <w:szCs w:val="18"/>
          <w:vertAlign w:val="superscript"/>
        </w:rPr>
        <w:t>ème</w:t>
      </w:r>
      <w:r w:rsidRPr="00AB4358">
        <w:rPr>
          <w:rFonts w:ascii="Arial" w:hAnsi="Arial" w:cs="Arial"/>
          <w:sz w:val="18"/>
          <w:szCs w:val="18"/>
        </w:rPr>
        <w:t> décision sur la demande de paiement du 26 mai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Niko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Resources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(Bangladesh) LTD. v. Bangladesh Petroleum Exploration &amp; Production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Company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Limited («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Bapex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 ») and Bangladesh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Oil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Gas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Mineral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Corporation («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Petrobangla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> »)</w:t>
      </w:r>
      <w:r w:rsidRPr="00AB4358">
        <w:rPr>
          <w:rFonts w:ascii="Arial" w:hAnsi="Arial" w:cs="Arial"/>
          <w:sz w:val="18"/>
          <w:szCs w:val="18"/>
        </w:rPr>
        <w:t> (ICSID Case No ARB/10/11 et 10/18)</w:t>
      </w:r>
    </w:p>
    <w:p w14:paraId="4E48E4B9" w14:textId="6E46CA1D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D7B5F54" w14:textId="7503E62B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31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mai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Corona Materials, LLC v. Dominican Republic</w:t>
      </w:r>
      <w:r w:rsidRPr="00AB4358">
        <w:rPr>
          <w:rFonts w:ascii="Arial" w:hAnsi="Arial" w:cs="Arial"/>
          <w:sz w:val="18"/>
          <w:szCs w:val="18"/>
          <w:lang w:val="en-US"/>
        </w:rPr>
        <w:t> (ICSID Case No ARB(AF)/14/3)</w:t>
      </w:r>
    </w:p>
    <w:p w14:paraId="6104F65A" w14:textId="2722F77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66BB68F" w14:textId="2E1C9C32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2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juin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 Transglobal Green Energy, LLC and Transglobal Green Panama, S.A. v. Republic of Panama</w:t>
      </w:r>
      <w:r w:rsidRPr="00AB4358">
        <w:rPr>
          <w:rFonts w:ascii="Arial" w:hAnsi="Arial" w:cs="Arial"/>
          <w:sz w:val="18"/>
          <w:szCs w:val="18"/>
          <w:lang w:val="en-US"/>
        </w:rPr>
        <w:t> (ICSID Case N0 ARB/13/28)</w:t>
      </w:r>
    </w:p>
    <w:p w14:paraId="3D4759F3" w14:textId="7C257AF0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75529C7C" w14:textId="2B1E2ED3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>Décision sur la compétence du 6 juin 2016, </w:t>
      </w:r>
      <w:r w:rsidRPr="00AB4358">
        <w:rPr>
          <w:rFonts w:ascii="Arial" w:hAnsi="Arial" w:cs="Arial"/>
          <w:i/>
          <w:iCs/>
          <w:sz w:val="18"/>
          <w:szCs w:val="18"/>
        </w:rPr>
        <w:t>RREEF Infrastructure (G.P.)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Limited and RREEF Pan-European Infrastructure Two Lux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S.à.r.l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. v. Kingdom of Spain</w:t>
      </w:r>
      <w:r w:rsidRPr="00AB4358">
        <w:rPr>
          <w:rFonts w:ascii="Arial" w:hAnsi="Arial" w:cs="Arial"/>
          <w:sz w:val="18"/>
          <w:szCs w:val="18"/>
          <w:lang w:val="en-US"/>
        </w:rPr>
        <w:t> (ICSID Case N0 ARB/13/30)</w:t>
      </w:r>
    </w:p>
    <w:p w14:paraId="7D4A3FBF" w14:textId="7F9DC722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247C8896" w14:textId="0815D114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8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juillet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Philip Morris Brands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Sàrl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, Philip Morris Products S.A.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Abal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Hermanos S.A. v. Oriental Republic of Uruguay</w:t>
      </w:r>
      <w:r w:rsidRPr="00AB4358">
        <w:rPr>
          <w:rFonts w:ascii="Arial" w:hAnsi="Arial" w:cs="Arial"/>
          <w:sz w:val="18"/>
          <w:szCs w:val="18"/>
          <w:lang w:val="en-US"/>
        </w:rPr>
        <w:t> (ICSID Case N0 ARB/10/7)</w:t>
      </w:r>
    </w:p>
    <w:p w14:paraId="5890A241" w14:textId="51B4672D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3FAD878E" w14:textId="29971819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partielle sur la compétence du 15 juillet 2016,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 The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Renco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Group Inc.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Peru</w:t>
      </w:r>
      <w:proofErr w:type="spellEnd"/>
      <w:r w:rsidRPr="00AB4358">
        <w:rPr>
          <w:rFonts w:ascii="Arial" w:hAnsi="Arial" w:cs="Arial"/>
          <w:sz w:val="18"/>
          <w:szCs w:val="18"/>
        </w:rPr>
        <w:t> (ICSID Case N0 UNCT/13/1)</w:t>
      </w:r>
    </w:p>
    <w:p w14:paraId="7F363AA8" w14:textId="7E43FA12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E754AB2" w14:textId="03691C2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relative à l’exclusivité de la compétence du tribunal du 19 juillet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Niko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Resources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(Bangladesh) LTD. v. Bangladesh Petroleum Exploration &amp; Production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Company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Limited («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Bapex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 ») and Bangladesh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Oil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Gas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Mineral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Corporation («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Petrobangla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> »)</w:t>
      </w:r>
      <w:r w:rsidRPr="00AB4358">
        <w:rPr>
          <w:rFonts w:ascii="Arial" w:hAnsi="Arial" w:cs="Arial"/>
          <w:sz w:val="18"/>
          <w:szCs w:val="18"/>
        </w:rPr>
        <w:t> (ICSID Case N0 ARB/10/11 et 10/18)</w:t>
      </w:r>
    </w:p>
    <w:p w14:paraId="54BF7EAE" w14:textId="1772F60B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16BC841" w14:textId="00F30548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26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juillet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CEAC Holdings Limited v. Montenegro</w:t>
      </w:r>
      <w:r w:rsidRPr="00AB4358">
        <w:rPr>
          <w:rFonts w:ascii="Arial" w:hAnsi="Arial" w:cs="Arial"/>
          <w:sz w:val="18"/>
          <w:szCs w:val="18"/>
          <w:lang w:val="en-US"/>
        </w:rPr>
        <w:t> (ICSID Case N0 ARB/14/8)</w:t>
      </w:r>
    </w:p>
    <w:p w14:paraId="2EEE46CC" w14:textId="56A05754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61ECA24" w14:textId="55AF9805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5 août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Menzies Middle East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Africa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et Aviation Handling Services International Ltd. C. République du Sénégal</w:t>
      </w:r>
      <w:r w:rsidRPr="00AB4358">
        <w:rPr>
          <w:rFonts w:ascii="Arial" w:hAnsi="Arial" w:cs="Arial"/>
          <w:sz w:val="18"/>
          <w:szCs w:val="18"/>
        </w:rPr>
        <w:t> (Affaire CIRDI ARB/15/21)</w:t>
      </w:r>
    </w:p>
    <w:p w14:paraId="663D8C3C" w14:textId="1D59975F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239CCBC" w14:textId="4950E63A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lastRenderedPageBreak/>
        <w:t>Sentence du 16 août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Getma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International, NCT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Necotrans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Getma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International Investissements, NCT Infrastructure &amp; Logistique c. La République de Guinée</w:t>
      </w:r>
      <w:r w:rsidRPr="00AB4358">
        <w:rPr>
          <w:rFonts w:ascii="Arial" w:hAnsi="Arial" w:cs="Arial"/>
          <w:sz w:val="18"/>
          <w:szCs w:val="18"/>
        </w:rPr>
        <w:t> (Affaire CIRDI ARB/11/29)</w:t>
      </w:r>
    </w:p>
    <w:p w14:paraId="5E703A90" w14:textId="77DDA710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283803B" w14:textId="074A85E9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22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août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Rusoro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Mining Limited c. The Bolivarian Republic of Venezuela</w:t>
      </w:r>
      <w:r w:rsidRPr="00AB4358">
        <w:rPr>
          <w:rFonts w:ascii="Arial" w:hAnsi="Arial" w:cs="Arial"/>
          <w:sz w:val="18"/>
          <w:szCs w:val="18"/>
          <w:lang w:val="en-US"/>
        </w:rPr>
        <w:t> (ICSID Case N0 ARB(AF)/12/5)</w:t>
      </w:r>
    </w:p>
    <w:p w14:paraId="59DB09B6" w14:textId="4A57C388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43106063" w14:textId="03352494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12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septembre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Standard Chartered Bank (Hong Kong) Limited v. Tanzania Electric Supply Company Limited</w:t>
      </w:r>
      <w:r w:rsidRPr="00AB4358">
        <w:rPr>
          <w:rFonts w:ascii="Arial" w:hAnsi="Arial" w:cs="Arial"/>
          <w:sz w:val="18"/>
          <w:szCs w:val="18"/>
          <w:lang w:val="en-US"/>
        </w:rPr>
        <w:t> (ICSID Case N0 ARB/10/20)</w:t>
      </w:r>
    </w:p>
    <w:p w14:paraId="664E8490" w14:textId="0FAE71CB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6D4076E7" w14:textId="41219570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>Sentence du 13 septembre 2016,</w:t>
      </w:r>
      <w:r w:rsidRPr="00AB4358">
        <w:rPr>
          <w:rFonts w:ascii="Arial" w:hAnsi="Arial" w:cs="Arial"/>
          <w:i/>
          <w:iCs/>
          <w:sz w:val="18"/>
          <w:szCs w:val="18"/>
        </w:rPr>
        <w:t> Victor Pey Casado et Fondation «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Presidente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Allende » c. République du Chili</w:t>
      </w:r>
      <w:r w:rsidRPr="00AB4358">
        <w:rPr>
          <w:rFonts w:ascii="Arial" w:hAnsi="Arial" w:cs="Arial"/>
          <w:sz w:val="18"/>
          <w:szCs w:val="18"/>
        </w:rPr>
        <w:t xml:space="preserve"> (Affaire CIRDI </w:t>
      </w:r>
      <w:proofErr w:type="spellStart"/>
      <w:r w:rsidRPr="00AB4358">
        <w:rPr>
          <w:rFonts w:ascii="Arial" w:hAnsi="Arial" w:cs="Arial"/>
          <w:sz w:val="18"/>
          <w:szCs w:val="18"/>
        </w:rPr>
        <w:t>aff.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</w:t>
      </w:r>
      <w:r w:rsidRPr="00AB4358">
        <w:rPr>
          <w:rFonts w:ascii="Arial" w:hAnsi="Arial" w:cs="Arial"/>
          <w:sz w:val="18"/>
          <w:szCs w:val="18"/>
          <w:lang w:val="en-US"/>
        </w:rPr>
        <w:t>No ARB/98/2)</w:t>
      </w:r>
    </w:p>
    <w:p w14:paraId="5D1E8004" w14:textId="374B75A0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7621FC48" w14:textId="7521BA45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sur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l’annulation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 29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septembre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Postova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Banka, A.S.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Istrokapital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SE v. The Hellenic Republic</w:t>
      </w:r>
      <w:r w:rsidRPr="00AB4358">
        <w:rPr>
          <w:rFonts w:ascii="Arial" w:hAnsi="Arial" w:cs="Arial"/>
          <w:sz w:val="18"/>
          <w:szCs w:val="18"/>
          <w:lang w:val="en-US"/>
        </w:rPr>
        <w:t> (ICSID Case No ARB/13/8).</w:t>
      </w:r>
    </w:p>
    <w:p w14:paraId="10D84667" w14:textId="0B200225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541194CA" w14:textId="0E206431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6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Churchill Mining PLC and Planet Mining Pty Ltd v. Republic of Indonesia</w:t>
      </w:r>
      <w:r w:rsidRPr="00AB4358">
        <w:rPr>
          <w:rFonts w:ascii="Arial" w:hAnsi="Arial" w:cs="Arial"/>
          <w:sz w:val="18"/>
          <w:szCs w:val="18"/>
          <w:lang w:val="en-US"/>
        </w:rPr>
        <w:t> (ICSID Case N0 ARB/12/14 et 12/40)</w:t>
      </w:r>
    </w:p>
    <w:p w14:paraId="4185EC23" w14:textId="6E528DA3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49C0E3FD" w14:textId="09F604F1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les exceptions préliminaires en application de la procédure prévue à l’article 41(5) du 12 décembre 2016,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Lion Mexico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Consolidated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L.P. v. United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Mexican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States</w:t>
      </w:r>
      <w:r w:rsidRPr="00AB4358">
        <w:rPr>
          <w:rFonts w:ascii="Arial" w:hAnsi="Arial" w:cs="Arial"/>
          <w:sz w:val="18"/>
          <w:szCs w:val="18"/>
        </w:rPr>
        <w:t> (ICSID No ARB(AF)/15/2)</w:t>
      </w:r>
    </w:p>
    <w:p w14:paraId="07F7429F" w14:textId="75509607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33C37BD8" w14:textId="2896DE9B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l’annulation du 19 décembre 2016, </w:t>
      </w:r>
      <w:r w:rsidRPr="00AB4358">
        <w:rPr>
          <w:rFonts w:ascii="Arial" w:hAnsi="Arial" w:cs="Arial"/>
          <w:i/>
          <w:iCs/>
          <w:sz w:val="18"/>
          <w:szCs w:val="18"/>
        </w:rPr>
        <w:t>SAUR International S.A. c. République argentine</w:t>
      </w:r>
      <w:r w:rsidRPr="00AB4358">
        <w:rPr>
          <w:rFonts w:ascii="Arial" w:hAnsi="Arial" w:cs="Arial"/>
          <w:sz w:val="18"/>
          <w:szCs w:val="18"/>
        </w:rPr>
        <w:t> (Affaire CIRDI Case No ARB/04/4)</w:t>
      </w:r>
    </w:p>
    <w:p w14:paraId="6D72DC24" w14:textId="7A01DDC3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A7446A3" w14:textId="332FC49C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sur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l’annulation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 27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2016, 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Tidewater Investment SRL and Tidewater Caribe, C.A. v. Bolivarian Republic of Venezuela </w:t>
      </w:r>
      <w:r w:rsidRPr="00AB4358">
        <w:rPr>
          <w:rFonts w:ascii="Arial" w:hAnsi="Arial" w:cs="Arial"/>
          <w:sz w:val="18"/>
          <w:szCs w:val="18"/>
          <w:lang w:val="en-US"/>
        </w:rPr>
        <w:t>(ICSID Case No ARB/10/5)</w:t>
      </w:r>
    </w:p>
    <w:p w14:paraId="09C6DB45" w14:textId="0E469F21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2CD6A9CE" w14:textId="4653604C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423CFF1B" w14:textId="77777777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i/>
          <w:iCs/>
          <w:sz w:val="18"/>
          <w:szCs w:val="18"/>
        </w:rPr>
        <w:t>Chronique de jurisprudence CIRDI, JDI, 2016, p. 173-256</w:t>
      </w:r>
    </w:p>
    <w:p w14:paraId="39137C49" w14:textId="6F1C84EB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3B93CF51" w14:textId="058DE69F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 7 janvier 2015, </w:t>
      </w:r>
      <w:r w:rsidRPr="00AB4358">
        <w:rPr>
          <w:rFonts w:ascii="Arial" w:hAnsi="Arial" w:cs="Arial"/>
          <w:i/>
          <w:iCs/>
          <w:sz w:val="18"/>
          <w:szCs w:val="18"/>
        </w:rPr>
        <w:t>Daimler Financial Services AG c. Argentine</w:t>
      </w:r>
      <w:r w:rsidRPr="00AB4358">
        <w:rPr>
          <w:rFonts w:ascii="Arial" w:hAnsi="Arial" w:cs="Arial"/>
          <w:sz w:val="18"/>
          <w:szCs w:val="18"/>
        </w:rPr>
        <w:t> (ICSID n° ARB/05/1)</w:t>
      </w:r>
    </w:p>
    <w:p w14:paraId="30852540" w14:textId="3762EBD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EF2E562" w14:textId="1EC19E22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9 janvier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Renée Rose Levy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Gremcitel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c. Pérou</w:t>
      </w:r>
      <w:r w:rsidRPr="00AB4358">
        <w:rPr>
          <w:rFonts w:ascii="Arial" w:hAnsi="Arial" w:cs="Arial"/>
          <w:sz w:val="18"/>
          <w:szCs w:val="18"/>
        </w:rPr>
        <w:t>, (ICSID ARB/11/17)</w:t>
      </w:r>
    </w:p>
    <w:p w14:paraId="4756D856" w14:textId="1BB02853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9B63F45" w14:textId="11252486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 13 janvier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Iberdrola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Energía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c. Guatemala</w:t>
      </w:r>
      <w:r w:rsidRPr="00AB4358">
        <w:rPr>
          <w:rFonts w:ascii="Arial" w:hAnsi="Arial" w:cs="Arial"/>
          <w:sz w:val="18"/>
          <w:szCs w:val="18"/>
        </w:rPr>
        <w:t>, (ICSID ARB/09/5)</w:t>
      </w:r>
    </w:p>
    <w:p w14:paraId="0FA626B7" w14:textId="22CB9FAB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427FC7D" w14:textId="11FB559C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 12 février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Señor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Tza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Yap Shum c. Pérou</w:t>
      </w:r>
      <w:r w:rsidRPr="00AB4358">
        <w:rPr>
          <w:rFonts w:ascii="Arial" w:hAnsi="Arial" w:cs="Arial"/>
          <w:sz w:val="18"/>
          <w:szCs w:val="18"/>
        </w:rPr>
        <w:t> (ICSID ARB/07/6)</w:t>
      </w:r>
    </w:p>
    <w:p w14:paraId="3D0E4896" w14:textId="72550CBB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8038206" w14:textId="6C2AC2B8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 13 février 2015,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Muhamet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Çap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&amp;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Sehil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Insaat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Endutry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ve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Ticaret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Ltd.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Sti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.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Turkmenistan</w:t>
      </w:r>
      <w:proofErr w:type="spellEnd"/>
      <w:r w:rsidRPr="00AB4358">
        <w:rPr>
          <w:rFonts w:ascii="Arial" w:hAnsi="Arial" w:cs="Arial"/>
          <w:sz w:val="18"/>
          <w:szCs w:val="18"/>
        </w:rPr>
        <w:t> (ICSID ARB/12/6)</w:t>
      </w:r>
    </w:p>
    <w:p w14:paraId="69A010B8" w14:textId="583B29D5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3CAE5C4E" w14:textId="3B255A36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>Sentence du 20 février 2015, </w:t>
      </w:r>
      <w:r w:rsidRPr="00AB4358">
        <w:rPr>
          <w:rFonts w:ascii="Arial" w:hAnsi="Arial" w:cs="Arial"/>
          <w:i/>
          <w:iCs/>
          <w:sz w:val="18"/>
          <w:szCs w:val="18"/>
        </w:rPr>
        <w:t>Mobil Investments Canada Inc.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&amp; Murphy Oil Corporation c. Canada</w:t>
      </w:r>
      <w:r w:rsidRPr="00AB4358">
        <w:rPr>
          <w:rFonts w:ascii="Arial" w:hAnsi="Arial" w:cs="Arial"/>
          <w:sz w:val="18"/>
          <w:szCs w:val="18"/>
          <w:lang w:val="en-US"/>
        </w:rPr>
        <w:t> (ARB(AF)/07/04)</w:t>
      </w:r>
    </w:p>
    <w:p w14:paraId="0817E0AD" w14:textId="5CC44ED0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712F324" w14:textId="35D2C1DC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>Sentence du 2 mars 2015,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Mr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Hassan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Awdi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, Enterprise Business Consultants, Inc. and Alfa El Corporation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Roumanie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>, (ARB/10/13)</w:t>
      </w:r>
    </w:p>
    <w:p w14:paraId="4D065896" w14:textId="22DF06B4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781484A" w14:textId="20E86ABB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>Sentence du 10 mars 2015,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OI European Group B.V. c. Venezuela</w:t>
      </w:r>
      <w:r w:rsidRPr="00AB4358">
        <w:rPr>
          <w:rFonts w:ascii="Arial" w:hAnsi="Arial" w:cs="Arial"/>
          <w:sz w:val="18"/>
          <w:szCs w:val="18"/>
          <w:lang w:val="en-US"/>
        </w:rPr>
        <w:t> (ARB/11/25)</w:t>
      </w:r>
    </w:p>
    <w:p w14:paraId="05BEF18A" w14:textId="5EA66D53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944E685" w14:textId="09D85D44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20 mars 2015,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Mamidoil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Jetoil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Greek Petroleum Product Société S.A.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Albania</w:t>
      </w:r>
      <w:proofErr w:type="spellEnd"/>
      <w:r w:rsidRPr="00AB4358">
        <w:rPr>
          <w:rFonts w:ascii="Arial" w:hAnsi="Arial" w:cs="Arial"/>
          <w:sz w:val="18"/>
          <w:szCs w:val="18"/>
        </w:rPr>
        <w:t> (ARB/11/24)</w:t>
      </w:r>
    </w:p>
    <w:p w14:paraId="334C3650" w14:textId="527BD61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DCC652C" w14:textId="317EDE21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lastRenderedPageBreak/>
        <w:t xml:space="preserve">Décision de la Commission européenne du 30 mars 2015 (UE) concernant l’aide d’État SA.38517 (2014/C) (ex 2014/NN) mise en œuvre par la Roumanie — Sentence arbitrale dans l’affaire </w:t>
      </w:r>
      <w:proofErr w:type="spellStart"/>
      <w:r w:rsidRPr="00AB4358">
        <w:rPr>
          <w:rFonts w:ascii="Arial" w:hAnsi="Arial" w:cs="Arial"/>
          <w:sz w:val="18"/>
          <w:szCs w:val="18"/>
        </w:rPr>
        <w:t>Micula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/Roumanie du 11 décembre 2013 notifiée sous le numéro </w:t>
      </w:r>
      <w:proofErr w:type="gramStart"/>
      <w:r w:rsidRPr="00AB4358">
        <w:rPr>
          <w:rFonts w:ascii="Arial" w:hAnsi="Arial" w:cs="Arial"/>
          <w:sz w:val="18"/>
          <w:szCs w:val="18"/>
        </w:rPr>
        <w:t>C(</w:t>
      </w:r>
      <w:proofErr w:type="gramEnd"/>
      <w:r w:rsidRPr="00AB4358">
        <w:rPr>
          <w:rFonts w:ascii="Arial" w:hAnsi="Arial" w:cs="Arial"/>
          <w:sz w:val="18"/>
          <w:szCs w:val="18"/>
        </w:rPr>
        <w:t>2015) 2112</w:t>
      </w:r>
    </w:p>
    <w:p w14:paraId="7551EEBF" w14:textId="5F78620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3410434" w14:textId="38E0D662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3 avril 2015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Venoklim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Holding B.V. c. la République bolivarienne du Venezuela</w:t>
      </w:r>
      <w:r w:rsidRPr="00AB4358">
        <w:rPr>
          <w:rFonts w:ascii="Arial" w:hAnsi="Arial" w:cs="Arial"/>
          <w:sz w:val="18"/>
          <w:szCs w:val="18"/>
        </w:rPr>
        <w:t> (ARB/12/22)</w:t>
      </w:r>
    </w:p>
    <w:p w14:paraId="504B319B" w14:textId="6945831B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FBAE4AB" w14:textId="5B9004FF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9 avril 2015,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Poštová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banka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a.s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>. and ISTROKAPITAL SE c. Grèce</w:t>
      </w:r>
      <w:r w:rsidRPr="00AB4358">
        <w:rPr>
          <w:rFonts w:ascii="Arial" w:hAnsi="Arial" w:cs="Arial"/>
          <w:sz w:val="18"/>
          <w:szCs w:val="18"/>
        </w:rPr>
        <w:t> (ICSID ARB/13/8)</w:t>
      </w:r>
    </w:p>
    <w:p w14:paraId="6FE35A65" w14:textId="668C0D8D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00FD2A6" w14:textId="4663335A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9 avril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Suez, Sociedad General de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Aguas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Barcelona S.A., and Vivendi Universal S.A. c. Argentine</w:t>
      </w:r>
      <w:r w:rsidRPr="00AB4358">
        <w:rPr>
          <w:rFonts w:ascii="Arial" w:hAnsi="Arial" w:cs="Arial"/>
          <w:sz w:val="18"/>
          <w:szCs w:val="18"/>
        </w:rPr>
        <w:t> (ICSID ARB/03/19)</w:t>
      </w:r>
    </w:p>
    <w:p w14:paraId="7A10EAD1" w14:textId="7A9C6759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60D3CD3" w14:textId="6931ABC0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 10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2015,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l’affaire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Perenco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Ecuador Ltd. v. The Republic of Ecuador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Empresa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Estatal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Petróleos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del Ecuador (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Petroecuador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)</w:t>
      </w:r>
      <w:r w:rsidRPr="00AB4358">
        <w:rPr>
          <w:rFonts w:ascii="Arial" w:hAnsi="Arial" w:cs="Arial"/>
          <w:sz w:val="18"/>
          <w:szCs w:val="18"/>
          <w:lang w:val="en-US"/>
        </w:rPr>
        <w:t> (ICSID Case No. ARB/08/6)</w:t>
      </w:r>
    </w:p>
    <w:p w14:paraId="74E35DAA" w14:textId="3F75C8DF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518D3C11" w14:textId="034208AE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17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2015, 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Accession Mezzanine Capital L.P.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Danubius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KeresKedöház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Vagyonkezelö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Zrt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.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Hongrie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 </w:t>
      </w:r>
      <w:r w:rsidRPr="00AB4358">
        <w:rPr>
          <w:rFonts w:ascii="Arial" w:hAnsi="Arial" w:cs="Arial"/>
          <w:sz w:val="18"/>
          <w:szCs w:val="18"/>
          <w:lang w:val="en-US"/>
        </w:rPr>
        <w:t>(ICSID ARB/12/3)</w:t>
      </w:r>
    </w:p>
    <w:p w14:paraId="32463503" w14:textId="0D4F09F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4A6C8FF4" w14:textId="01C5D794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 30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2015, 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Ping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An</w:t>
      </w:r>
      <w:proofErr w:type="gram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Life Insurance Company, Limited and Ping An Insurance (Group) Company, Limited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Belgique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> (ARB/12/29)</w:t>
      </w:r>
    </w:p>
    <w:p w14:paraId="41DB51A4" w14:textId="2E96E2D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5D7DDCB" w14:textId="02C2767C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5 mai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PNG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Sustainable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Development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Program Ltd. c. La Papouasie Nouvelle-Guinée</w:t>
      </w:r>
      <w:r w:rsidRPr="00AB4358">
        <w:rPr>
          <w:rFonts w:ascii="Arial" w:hAnsi="Arial" w:cs="Arial"/>
          <w:sz w:val="18"/>
          <w:szCs w:val="18"/>
        </w:rPr>
        <w:t> (ICSID Case No. ARB/13/33</w:t>
      </w:r>
    </w:p>
    <w:p w14:paraId="156466BA" w14:textId="30B69472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7C5A6F7" w14:textId="5F3CFCE3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 2 juin 2015,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 The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Renco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Group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Inc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Pérou</w:t>
      </w:r>
      <w:r w:rsidRPr="00AB4358">
        <w:rPr>
          <w:rFonts w:ascii="Arial" w:hAnsi="Arial" w:cs="Arial"/>
          <w:sz w:val="18"/>
          <w:szCs w:val="18"/>
        </w:rPr>
        <w:t> (ARB UNCT/13/1)</w:t>
      </w:r>
    </w:p>
    <w:p w14:paraId="04A330D2" w14:textId="29219906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39488A9" w14:textId="44E95701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>Décision du 12 juin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Venezuela Holdings B.V.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others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Venezuela</w:t>
      </w:r>
      <w:r w:rsidRPr="00AB4358">
        <w:rPr>
          <w:rFonts w:ascii="Arial" w:hAnsi="Arial" w:cs="Arial"/>
          <w:sz w:val="18"/>
          <w:szCs w:val="18"/>
        </w:rPr>
        <w:t xml:space="preserve">, (ICSID Case No. </w:t>
      </w:r>
      <w:r w:rsidRPr="00AB4358">
        <w:rPr>
          <w:rFonts w:ascii="Arial" w:hAnsi="Arial" w:cs="Arial"/>
          <w:sz w:val="18"/>
          <w:szCs w:val="18"/>
          <w:lang w:val="en-US"/>
        </w:rPr>
        <w:t>ARB/07/27)</w:t>
      </w:r>
    </w:p>
    <w:p w14:paraId="744B80DA" w14:textId="6C4351A2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F9B13A6" w14:textId="23F945B0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 15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juillet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2015, 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Kilic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Insaat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Ithalat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Ihracat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Sanayi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ve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Ticaret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Anonim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Sirketi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c. Turkmenistan</w:t>
      </w:r>
      <w:r w:rsidRPr="00AB4358">
        <w:rPr>
          <w:rFonts w:ascii="Arial" w:hAnsi="Arial" w:cs="Arial"/>
          <w:sz w:val="18"/>
          <w:szCs w:val="18"/>
          <w:lang w:val="en-US"/>
        </w:rPr>
        <w:t xml:space="preserve">, ICSID Case No. </w:t>
      </w:r>
      <w:r w:rsidRPr="00AB4358">
        <w:rPr>
          <w:rFonts w:ascii="Arial" w:hAnsi="Arial" w:cs="Arial"/>
          <w:sz w:val="18"/>
          <w:szCs w:val="18"/>
        </w:rPr>
        <w:t>ARB/10/1</w:t>
      </w:r>
    </w:p>
    <w:p w14:paraId="4B4D82DF" w14:textId="65775B4A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7A28E5C" w14:textId="0ABC9AA9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 24 août 2015, </w:t>
      </w:r>
      <w:r w:rsidRPr="00AB4358">
        <w:rPr>
          <w:rFonts w:ascii="Arial" w:hAnsi="Arial" w:cs="Arial"/>
          <w:i/>
          <w:iCs/>
          <w:sz w:val="18"/>
          <w:szCs w:val="18"/>
        </w:rPr>
        <w:t>Dan Cake (Portugal) S.A. c. Bulgarie </w:t>
      </w:r>
      <w:r w:rsidRPr="00AB4358">
        <w:rPr>
          <w:rFonts w:ascii="Arial" w:hAnsi="Arial" w:cs="Arial"/>
          <w:sz w:val="18"/>
          <w:szCs w:val="18"/>
        </w:rPr>
        <w:t>(ARB/12/9)</w:t>
      </w:r>
    </w:p>
    <w:p w14:paraId="323C4819" w14:textId="7C3CC877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DA6B77B" w14:textId="3FDA8DB5" w:rsidR="007C2A3B" w:rsidRPr="00AB4358" w:rsidRDefault="00AB4358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</w:t>
      </w:r>
      <w:r w:rsidR="007C2A3B" w:rsidRPr="00AB4358">
        <w:rPr>
          <w:rFonts w:ascii="Arial" w:hAnsi="Arial" w:cs="Arial"/>
          <w:sz w:val="18"/>
          <w:szCs w:val="18"/>
        </w:rPr>
        <w:t>entence du 16 septembre 2015, </w:t>
      </w:r>
      <w:proofErr w:type="spellStart"/>
      <w:r w:rsidR="007C2A3B" w:rsidRPr="00AB4358">
        <w:rPr>
          <w:rFonts w:ascii="Arial" w:hAnsi="Arial" w:cs="Arial"/>
          <w:i/>
          <w:iCs/>
          <w:sz w:val="18"/>
          <w:szCs w:val="18"/>
        </w:rPr>
        <w:t>Quiborax</w:t>
      </w:r>
      <w:proofErr w:type="spellEnd"/>
      <w:r w:rsidR="007C2A3B" w:rsidRPr="00AB4358">
        <w:rPr>
          <w:rFonts w:ascii="Arial" w:hAnsi="Arial" w:cs="Arial"/>
          <w:i/>
          <w:iCs/>
          <w:sz w:val="18"/>
          <w:szCs w:val="18"/>
        </w:rPr>
        <w:t xml:space="preserve"> S.A., Non </w:t>
      </w:r>
      <w:proofErr w:type="spellStart"/>
      <w:r w:rsidR="007C2A3B" w:rsidRPr="00AB4358">
        <w:rPr>
          <w:rFonts w:ascii="Arial" w:hAnsi="Arial" w:cs="Arial"/>
          <w:i/>
          <w:iCs/>
          <w:sz w:val="18"/>
          <w:szCs w:val="18"/>
        </w:rPr>
        <w:t>Metallic</w:t>
      </w:r>
      <w:proofErr w:type="spellEnd"/>
      <w:r w:rsidR="007C2A3B"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C2A3B" w:rsidRPr="00AB4358">
        <w:rPr>
          <w:rFonts w:ascii="Arial" w:hAnsi="Arial" w:cs="Arial"/>
          <w:i/>
          <w:iCs/>
          <w:sz w:val="18"/>
          <w:szCs w:val="18"/>
        </w:rPr>
        <w:t>Minerals</w:t>
      </w:r>
      <w:proofErr w:type="spellEnd"/>
      <w:r w:rsidR="007C2A3B" w:rsidRPr="00AB4358">
        <w:rPr>
          <w:rFonts w:ascii="Arial" w:hAnsi="Arial" w:cs="Arial"/>
          <w:i/>
          <w:iCs/>
          <w:sz w:val="18"/>
          <w:szCs w:val="18"/>
        </w:rPr>
        <w:t xml:space="preserve"> S.A. and Allan </w:t>
      </w:r>
      <w:proofErr w:type="spellStart"/>
      <w:r w:rsidR="007C2A3B" w:rsidRPr="00AB4358">
        <w:rPr>
          <w:rFonts w:ascii="Arial" w:hAnsi="Arial" w:cs="Arial"/>
          <w:i/>
          <w:iCs/>
          <w:sz w:val="18"/>
          <w:szCs w:val="18"/>
        </w:rPr>
        <w:t>Fosk</w:t>
      </w:r>
      <w:proofErr w:type="spellEnd"/>
      <w:r w:rsidR="007C2A3B"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C2A3B" w:rsidRPr="00AB4358">
        <w:rPr>
          <w:rFonts w:ascii="Arial" w:hAnsi="Arial" w:cs="Arial"/>
          <w:i/>
          <w:iCs/>
          <w:sz w:val="18"/>
          <w:szCs w:val="18"/>
        </w:rPr>
        <w:t>Kaplún</w:t>
      </w:r>
      <w:proofErr w:type="spellEnd"/>
      <w:r w:rsidR="007C2A3B" w:rsidRPr="00AB4358">
        <w:rPr>
          <w:rFonts w:ascii="Arial" w:hAnsi="Arial" w:cs="Arial"/>
          <w:i/>
          <w:iCs/>
          <w:sz w:val="18"/>
          <w:szCs w:val="18"/>
        </w:rPr>
        <w:t xml:space="preserve"> c.  Bolivie</w:t>
      </w:r>
      <w:r w:rsidR="007C2A3B" w:rsidRPr="00AB4358">
        <w:rPr>
          <w:rFonts w:ascii="Arial" w:hAnsi="Arial" w:cs="Arial"/>
          <w:sz w:val="18"/>
          <w:szCs w:val="18"/>
        </w:rPr>
        <w:t> (ARB/06/2)</w:t>
      </w:r>
    </w:p>
    <w:p w14:paraId="0FD9BFB4" w14:textId="2841F57C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F9C23F3" w14:textId="15E69330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22 septembre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Guardian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Fiduciary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Trust, Ltd, f/k/a Capital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Conservator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Savings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&amp; Loan, Ltd c. Macédoine</w:t>
      </w:r>
      <w:r w:rsidRPr="00AB4358">
        <w:rPr>
          <w:rFonts w:ascii="Arial" w:hAnsi="Arial" w:cs="Arial"/>
          <w:sz w:val="18"/>
          <w:szCs w:val="18"/>
        </w:rPr>
        <w:t>, (ARB/12/3)</w:t>
      </w:r>
    </w:p>
    <w:p w14:paraId="141BE6AA" w14:textId="7F44A4DF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D6CC2E1" w14:textId="01D47F06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 2 novembre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Occidental Petroleum Corporation and Occidental Exploration and Production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Company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Équateur</w:t>
      </w:r>
      <w:r w:rsidRPr="00AB4358">
        <w:rPr>
          <w:rFonts w:ascii="Arial" w:hAnsi="Arial" w:cs="Arial"/>
          <w:sz w:val="18"/>
          <w:szCs w:val="18"/>
        </w:rPr>
        <w:t> (ICSID ARB/06/11)</w:t>
      </w:r>
    </w:p>
    <w:p w14:paraId="207CF148" w14:textId="36EF53E2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4410BD4" w14:textId="078C7D85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3 novembre 2015,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Adel A Hamadi Al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Tamini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Sultanat d’Oman</w:t>
      </w:r>
      <w:r w:rsidRPr="00AB4358">
        <w:rPr>
          <w:rFonts w:ascii="Arial" w:hAnsi="Arial" w:cs="Arial"/>
          <w:sz w:val="18"/>
          <w:szCs w:val="18"/>
        </w:rPr>
        <w:t> (ARB/11/33)</w:t>
      </w:r>
    </w:p>
    <w:p w14:paraId="7E6FB873" w14:textId="3E61B41E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F041E79" w14:textId="346397DD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25 novembre 2015, </w:t>
      </w:r>
      <w:r w:rsidRPr="00AB4358">
        <w:rPr>
          <w:rFonts w:ascii="Arial" w:hAnsi="Arial" w:cs="Arial"/>
          <w:i/>
          <w:iCs/>
          <w:sz w:val="18"/>
          <w:szCs w:val="18"/>
        </w:rPr>
        <w:t>Electrabel S.A. c. Hongrie</w:t>
      </w:r>
      <w:r w:rsidRPr="00AB4358">
        <w:rPr>
          <w:rFonts w:ascii="Arial" w:hAnsi="Arial" w:cs="Arial"/>
          <w:sz w:val="18"/>
          <w:szCs w:val="18"/>
        </w:rPr>
        <w:t>, (ICSID ARB/07/19)</w:t>
      </w:r>
    </w:p>
    <w:p w14:paraId="7C11C3D2" w14:textId="02871983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0925483" w14:textId="1B2DD33F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du 17 décembre 2015,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Hrvatska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Elektroprivreda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d.d.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Slovénie</w:t>
      </w:r>
      <w:r w:rsidRPr="00AB4358">
        <w:rPr>
          <w:rFonts w:ascii="Arial" w:hAnsi="Arial" w:cs="Arial"/>
          <w:sz w:val="18"/>
          <w:szCs w:val="18"/>
        </w:rPr>
        <w:t> (ARB/05/24)</w:t>
      </w:r>
    </w:p>
    <w:p w14:paraId="18C0FDEF" w14:textId="20514541" w:rsidR="007C2A3B" w:rsidRPr="007C2A3B" w:rsidRDefault="007C2A3B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D830A6D" w14:textId="77777777" w:rsidR="007C2A3B" w:rsidRPr="00AB4358" w:rsidRDefault="007C2A3B" w:rsidP="00AB4358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i/>
          <w:iCs/>
          <w:sz w:val="18"/>
          <w:szCs w:val="18"/>
        </w:rPr>
        <w:t>Chronique de jurisprudence CIRDI, JDI, 2015, p. 235-312</w:t>
      </w:r>
    </w:p>
    <w:p w14:paraId="6847FD53" w14:textId="4DF228F1" w:rsidR="00FA24D4" w:rsidRDefault="00FA24D4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352CFD7" w14:textId="1D496B7D" w:rsid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 xml:space="preserve">Commentaires </w:t>
      </w:r>
      <w:r>
        <w:rPr>
          <w:rFonts w:ascii="Arial" w:hAnsi="Arial" w:cs="Arial"/>
          <w:b/>
          <w:bCs/>
          <w:color w:val="C00000"/>
          <w:sz w:val="20"/>
          <w:szCs w:val="20"/>
        </w:rPr>
        <w:t>:</w:t>
      </w:r>
    </w:p>
    <w:p w14:paraId="5E198010" w14:textId="2901BE96" w:rsidR="00AB4358" w:rsidRDefault="00AB4358" w:rsidP="007C2A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DC20D5D" w14:textId="77777777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Cs/>
          <w:iCs/>
          <w:sz w:val="18"/>
          <w:szCs w:val="18"/>
        </w:rPr>
        <w:lastRenderedPageBreak/>
        <w:t>Chronique de jurisprudence CIRDI, JDI, 2018, p. 207-304</w:t>
      </w:r>
    </w:p>
    <w:p w14:paraId="7887A277" w14:textId="18946CC0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670AED6" w14:textId="3E259A42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>Sentence du 8 décembre 2016,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Urbaser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Consorcio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Aguas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Bilbao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Bizkaia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, Bilbao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Biskaia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Ur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Partzuergo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v. The Argentine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> </w:t>
      </w:r>
      <w:r w:rsidRPr="00AB4358">
        <w:rPr>
          <w:rFonts w:ascii="Arial" w:hAnsi="Arial" w:cs="Arial"/>
          <w:sz w:val="18"/>
          <w:szCs w:val="18"/>
        </w:rPr>
        <w:t xml:space="preserve">(ICSID Case No. </w:t>
      </w:r>
      <w:r w:rsidRPr="00AB4358">
        <w:rPr>
          <w:rFonts w:ascii="Arial" w:hAnsi="Arial" w:cs="Arial"/>
          <w:sz w:val="18"/>
          <w:szCs w:val="18"/>
          <w:lang w:val="en-US"/>
        </w:rPr>
        <w:t>ARB/07/26</w:t>
      </w:r>
    </w:p>
    <w:p w14:paraId="2BF0081B" w14:textId="78F05614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3273CEC6" w14:textId="481646B1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17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janvier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AB4358">
        <w:rPr>
          <w:rFonts w:ascii="Arial" w:hAnsi="Arial" w:cs="Arial"/>
          <w:sz w:val="18"/>
          <w:szCs w:val="18"/>
          <w:lang w:val="en-US"/>
        </w:rPr>
        <w:t>2017,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ConocoPhillips</w:t>
      </w:r>
      <w:proofErr w:type="gram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Petrozuata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B.V., ConocoPhillips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Hamaca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B.V. and ConocoPhillips Gulf of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Paria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B.V. v. Bolivarian Republic of Venezuela (</w:t>
      </w:r>
      <w:r w:rsidRPr="00AB4358">
        <w:rPr>
          <w:rFonts w:ascii="Arial" w:hAnsi="Arial" w:cs="Arial"/>
          <w:sz w:val="18"/>
          <w:szCs w:val="18"/>
          <w:lang w:val="en-US"/>
        </w:rPr>
        <w:t>ICSID Case No. ARB/07/30)</w:t>
      </w:r>
    </w:p>
    <w:p w14:paraId="1FD0490A" w14:textId="1A1237B3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48EC693" w14:textId="14807BA0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 du 18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janvier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AB4358">
        <w:rPr>
          <w:rFonts w:ascii="Arial" w:hAnsi="Arial" w:cs="Arial"/>
          <w:sz w:val="18"/>
          <w:szCs w:val="18"/>
          <w:lang w:val="en-US"/>
        </w:rPr>
        <w:t>2017 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,Supervision</w:t>
      </w:r>
      <w:proofErr w:type="gram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y Control S.A. v. Republic of Costa Rica</w:t>
      </w:r>
      <w:r w:rsidRPr="00AB4358">
        <w:rPr>
          <w:rFonts w:ascii="Arial" w:hAnsi="Arial" w:cs="Arial"/>
          <w:sz w:val="18"/>
          <w:szCs w:val="18"/>
          <w:lang w:val="en-US"/>
        </w:rPr>
        <w:t>(ICSID Case No. ARB/12/4)</w:t>
      </w:r>
    </w:p>
    <w:p w14:paraId="4464A2E2" w14:textId="037AB577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63C99BC1" w14:textId="23CB5AFD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7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février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Burlington Resources Inc. v. Republic of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Ecuador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ARB/08/5 (formerly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Burlington Resources Inc. and others v. Republic of Ecuador and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Empresa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Estatal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Petróleos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del Ecuador (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PetroEcuador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)</w:t>
      </w:r>
      <w:r w:rsidRPr="00AB4358">
        <w:rPr>
          <w:rFonts w:ascii="Arial" w:hAnsi="Arial" w:cs="Arial"/>
          <w:sz w:val="18"/>
          <w:szCs w:val="18"/>
          <w:lang w:val="en-US"/>
        </w:rPr>
        <w:t>)</w:t>
      </w:r>
    </w:p>
    <w:p w14:paraId="48692B48" w14:textId="68E3A362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5AE3FC7" w14:textId="4B6E56A7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21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février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Ampal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-American Israel Corporation and others v. Arab Republic of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Egypt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ARB/12/11)</w:t>
      </w:r>
    </w:p>
    <w:p w14:paraId="08D167E0" w14:textId="6C661C4A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648AA0CA" w14:textId="729817FF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21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février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Quiborax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S.A.,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Non Metallic</w:t>
      </w:r>
      <w:proofErr w:type="gram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Minerals S.A. and Allan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Fosk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Kaplún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Plurinational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State of Bolivia</w:t>
      </w:r>
      <w:r w:rsidRPr="00AB4358">
        <w:rPr>
          <w:rFonts w:ascii="Arial" w:hAnsi="Arial" w:cs="Arial"/>
          <w:sz w:val="18"/>
          <w:szCs w:val="18"/>
          <w:lang w:val="en-US"/>
        </w:rPr>
        <w:t>, ICSID Case No. ARB/06/2</w:t>
      </w:r>
    </w:p>
    <w:p w14:paraId="354749DD" w14:textId="052B045A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AE96D05" w14:textId="3BD46174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>Sentence du 7 mars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Cervin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Investissements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S.A. and Rhone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Investissements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S.A. v. Republic of Costa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Rica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ARB/13/2)</w:t>
      </w:r>
    </w:p>
    <w:p w14:paraId="3808021A" w14:textId="424B2A41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26457C82" w14:textId="153921A9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sur la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compétence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8 mars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Vladislav Kim and others v. Republic of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Uzbekistan,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ARB/13/6)</w:t>
      </w:r>
    </w:p>
    <w:p w14:paraId="52C651A1" w14:textId="4D343AE8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D36757E" w14:textId="141D080C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>Sentence du 9 mars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Ansung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Housing Co., Ltd. v. People's Republic of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China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ARB/14/25)</w:t>
      </w:r>
    </w:p>
    <w:p w14:paraId="4D461ABF" w14:textId="60654C02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57CDF2A" w14:textId="49D5B934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9 mars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Venezuela Holdings, B.V., et al </w:t>
      </w:r>
      <w:r w:rsidRPr="00AB4358">
        <w:rPr>
          <w:rFonts w:ascii="Arial" w:hAnsi="Arial" w:cs="Arial"/>
          <w:sz w:val="18"/>
          <w:szCs w:val="18"/>
          <w:lang w:val="en-US"/>
        </w:rPr>
        <w:t>(case formerly known as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Mobil Corporation, Venezuela Holdings, B.V., et al.) v. Bolivarian Republic of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Venezuela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ARB/07/27)</w:t>
      </w:r>
    </w:p>
    <w:p w14:paraId="728A1690" w14:textId="44053FB4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36907704" w14:textId="4D85D408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i/>
          <w:iCs/>
          <w:sz w:val="18"/>
          <w:szCs w:val="18"/>
          <w:lang w:val="en-US"/>
        </w:rPr>
        <w:t>Sentence du16 mars 2017, Eli Lilly and Company v. The Government of Canada (</w:t>
      </w:r>
      <w:r w:rsidRPr="00AB4358">
        <w:rPr>
          <w:rFonts w:ascii="Arial" w:hAnsi="Arial" w:cs="Arial"/>
          <w:sz w:val="18"/>
          <w:szCs w:val="18"/>
          <w:lang w:val="en-US"/>
        </w:rPr>
        <w:t>UNCITRAL, ICSID Case No. UNCT/14/2)</w:t>
      </w:r>
    </w:p>
    <w:p w14:paraId="5F32B316" w14:textId="24787480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370D3CA4" w14:textId="5FF61AC7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20 mars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Eskosol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S.p.A. in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liquidazione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v. Italian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Republic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ARB/15/50</w:t>
      </w:r>
    </w:p>
    <w:p w14:paraId="11DC3DC4" w14:textId="0A01D4B2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493A480B" w14:textId="3FA0835A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24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Bernhard von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Pezold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and Others v. Republic of Zimbabwe</w:t>
      </w:r>
      <w:r w:rsidRPr="00AB4358">
        <w:rPr>
          <w:rFonts w:ascii="Arial" w:hAnsi="Arial" w:cs="Arial"/>
          <w:sz w:val="18"/>
          <w:szCs w:val="18"/>
          <w:lang w:val="en-US"/>
        </w:rPr>
        <w:t>, (ICSID Case No. ARB/10/15), et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Border Timbers Limited, Border Timbers International (Private) Limited,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Hangani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Development Co. (Private) Limited v. Republic of </w:t>
      </w:r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Zimbabwe,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ARB/10/25)</w:t>
      </w:r>
    </w:p>
    <w:p w14:paraId="5BEA9E8B" w14:textId="3F1CF3CE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52D11E73" w14:textId="0C1B1624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 26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Blue Bank International &amp; Trust (Barbados) Ltd. v. Bolivarian Republic of Venezuela </w:t>
      </w:r>
      <w:r w:rsidRPr="00AB4358">
        <w:rPr>
          <w:rFonts w:ascii="Arial" w:hAnsi="Arial" w:cs="Arial"/>
          <w:sz w:val="18"/>
          <w:szCs w:val="18"/>
          <w:lang w:val="en-US"/>
        </w:rPr>
        <w:t>(ICSID Case No. ARB 12/20)</w:t>
      </w:r>
    </w:p>
    <w:p w14:paraId="3B8A0775" w14:textId="0DA2F0E9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394CD9A3" w14:textId="08B06F51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 4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mai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Eiser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Infrastructure Limited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Energía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Solar Luxembourg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S.à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r.l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. v. Kingdom of Spain </w:t>
      </w:r>
      <w:r w:rsidRPr="00AB4358">
        <w:rPr>
          <w:rFonts w:ascii="Arial" w:hAnsi="Arial" w:cs="Arial"/>
          <w:sz w:val="18"/>
          <w:szCs w:val="18"/>
          <w:lang w:val="en-US"/>
        </w:rPr>
        <w:t xml:space="preserve">(ICSID Case No. </w:t>
      </w:r>
      <w:r w:rsidRPr="00AB4358">
        <w:rPr>
          <w:rFonts w:ascii="Arial" w:hAnsi="Arial" w:cs="Arial"/>
          <w:sz w:val="18"/>
          <w:szCs w:val="18"/>
        </w:rPr>
        <w:t>ARB/13/36)</w:t>
      </w:r>
    </w:p>
    <w:p w14:paraId="54461CA7" w14:textId="3F2F2AEB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0C615BA" w14:textId="084556AA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du 5 mai 2017, 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Suez, Sociedad General de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Aguas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Barcelona,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S.A.and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Vivendi Universal, S.A. v. Argentine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> </w:t>
      </w:r>
      <w:r w:rsidRPr="00AB4358">
        <w:rPr>
          <w:rFonts w:ascii="Arial" w:hAnsi="Arial" w:cs="Arial"/>
          <w:sz w:val="18"/>
          <w:szCs w:val="18"/>
        </w:rPr>
        <w:t>(ICSID Case No. ARB/03/19) (</w:t>
      </w:r>
      <w:proofErr w:type="spellStart"/>
      <w:r w:rsidRPr="00AB4358">
        <w:rPr>
          <w:rFonts w:ascii="Arial" w:hAnsi="Arial" w:cs="Arial"/>
          <w:sz w:val="18"/>
          <w:szCs w:val="18"/>
        </w:rPr>
        <w:t>formerly</w:t>
      </w:r>
      <w:proofErr w:type="spellEnd"/>
      <w:r w:rsidRPr="00AB4358">
        <w:rPr>
          <w:rFonts w:ascii="Arial" w:hAnsi="Arial" w:cs="Arial"/>
          <w:sz w:val="18"/>
          <w:szCs w:val="18"/>
        </w:rPr>
        <w:t>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Aguas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Argentinas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, S.A., Suez, Sociedad General de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Aguas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Barcelona,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S.A.and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Vivendi Universal, S.A. v. Argentine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sz w:val="18"/>
          <w:szCs w:val="18"/>
        </w:rPr>
        <w:t>)</w:t>
      </w:r>
    </w:p>
    <w:p w14:paraId="6A3C38FD" w14:textId="059E9210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363397F" w14:textId="79E7419B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lastRenderedPageBreak/>
        <w:t>Décision sur la compétence du 31 mai 2017,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 Beijing Urban Construction Group Co. Ltd.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Yemen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> </w:t>
      </w:r>
      <w:r w:rsidRPr="00AB4358">
        <w:rPr>
          <w:rFonts w:ascii="Arial" w:hAnsi="Arial" w:cs="Arial"/>
          <w:sz w:val="18"/>
          <w:szCs w:val="18"/>
        </w:rPr>
        <w:t>(ICSID Case No. ARB/14/30)</w:t>
      </w:r>
    </w:p>
    <w:p w14:paraId="30A19315" w14:textId="2AA05AFC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1944D38" w14:textId="47CDD5D6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 31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mai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Orascom TMT Investments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S.à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r.l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. v. People's Democratic Republic of Algeria </w:t>
      </w:r>
      <w:r w:rsidRPr="00AB4358">
        <w:rPr>
          <w:rFonts w:ascii="Arial" w:hAnsi="Arial" w:cs="Arial"/>
          <w:sz w:val="18"/>
          <w:szCs w:val="18"/>
          <w:lang w:val="en-US"/>
        </w:rPr>
        <w:t>(ICSID Case No. ARB/12/35)</w:t>
      </w:r>
    </w:p>
    <w:p w14:paraId="716326D9" w14:textId="04BE6F9B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3D633F1" w14:textId="69810749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 du 22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juin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AB4358">
        <w:rPr>
          <w:rFonts w:ascii="Arial" w:hAnsi="Arial" w:cs="Arial"/>
          <w:sz w:val="18"/>
          <w:szCs w:val="18"/>
          <w:lang w:val="en-US"/>
        </w:rPr>
        <w:t>2017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,Capital</w:t>
      </w:r>
      <w:proofErr w:type="gram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Financial Holdings Luxembourg S.A. v. Republic of Cameroon (</w:t>
      </w:r>
      <w:r w:rsidRPr="00AB4358">
        <w:rPr>
          <w:rFonts w:ascii="Arial" w:hAnsi="Arial" w:cs="Arial"/>
          <w:sz w:val="18"/>
          <w:szCs w:val="18"/>
          <w:lang w:val="en-US"/>
        </w:rPr>
        <w:t xml:space="preserve">ICSID Case No. </w:t>
      </w:r>
      <w:r w:rsidRPr="00AB4358">
        <w:rPr>
          <w:rFonts w:ascii="Arial" w:hAnsi="Arial" w:cs="Arial"/>
          <w:sz w:val="18"/>
          <w:szCs w:val="18"/>
        </w:rPr>
        <w:t>ARB/15/18)</w:t>
      </w:r>
    </w:p>
    <w:p w14:paraId="4B93679C" w14:textId="318A9BEB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0FABB50" w14:textId="51C35C14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 xml:space="preserve">Sentence du 21juillet </w:t>
      </w:r>
      <w:proofErr w:type="gramStart"/>
      <w:r w:rsidRPr="00AB4358">
        <w:rPr>
          <w:rFonts w:ascii="Arial" w:hAnsi="Arial" w:cs="Arial"/>
          <w:sz w:val="18"/>
          <w:szCs w:val="18"/>
        </w:rPr>
        <w:t>2017</w:t>
      </w:r>
      <w:r w:rsidRPr="00AB4358">
        <w:rPr>
          <w:rFonts w:ascii="Arial" w:hAnsi="Arial" w:cs="Arial"/>
          <w:i/>
          <w:iCs/>
          <w:sz w:val="18"/>
          <w:szCs w:val="18"/>
        </w:rPr>
        <w:t>,Teinver</w:t>
      </w:r>
      <w:proofErr w:type="gramEnd"/>
      <w:r w:rsidRPr="00AB4358">
        <w:rPr>
          <w:rFonts w:ascii="Arial" w:hAnsi="Arial" w:cs="Arial"/>
          <w:i/>
          <w:iCs/>
          <w:sz w:val="18"/>
          <w:szCs w:val="18"/>
        </w:rPr>
        <w:t xml:space="preserve"> S.A., Transportes de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Cercanías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S.A.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Autobuses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Urbanos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del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Sur S.A. v. The Argentine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sz w:val="18"/>
          <w:szCs w:val="18"/>
        </w:rPr>
        <w:t> (ICSID Case No. ARB/09/1)</w:t>
      </w:r>
    </w:p>
    <w:p w14:paraId="5DF0DEA0" w14:textId="166AB07E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C9995FC" w14:textId="5A46DAC4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Sentence et opinion dissidente du 18 août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EuroGas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Inc. and Belmont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Resources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Inc.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Slovak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> (</w:t>
      </w:r>
      <w:r w:rsidRPr="00AB4358">
        <w:rPr>
          <w:rFonts w:ascii="Arial" w:hAnsi="Arial" w:cs="Arial"/>
          <w:sz w:val="18"/>
          <w:szCs w:val="18"/>
        </w:rPr>
        <w:t>ICSID Case No. ARB/14/14)</w:t>
      </w:r>
    </w:p>
    <w:p w14:paraId="2B1BDA09" w14:textId="407EBF7C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6885DEA" w14:textId="6B437275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18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août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Perenco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Ecuador Ltd. v. The Republic of Ecuador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Empresa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Estatal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Petróleos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del Ecuador (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Petroecuador</w:t>
      </w:r>
      <w:proofErr w:type="spellEnd"/>
      <w:proofErr w:type="gram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)</w:t>
      </w:r>
      <w:r w:rsidRPr="00AB4358">
        <w:rPr>
          <w:rFonts w:ascii="Arial" w:hAnsi="Arial" w:cs="Arial"/>
          <w:sz w:val="18"/>
          <w:szCs w:val="18"/>
          <w:lang w:val="en-US"/>
        </w:rPr>
        <w:t>(</w:t>
      </w:r>
      <w:proofErr w:type="gramEnd"/>
      <w:r w:rsidRPr="00AB4358">
        <w:rPr>
          <w:rFonts w:ascii="Arial" w:hAnsi="Arial" w:cs="Arial"/>
          <w:sz w:val="18"/>
          <w:szCs w:val="18"/>
          <w:lang w:val="en-US"/>
        </w:rPr>
        <w:t>ICSID Case No. ARB/08/6)</w:t>
      </w:r>
    </w:p>
    <w:p w14:paraId="1887C143" w14:textId="6545D01F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2B0DE65B" w14:textId="0D3AAAC4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31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août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Burlington Resources Inc. v. Republic of Ecuador</w:t>
      </w:r>
      <w:r w:rsidRPr="00AB4358">
        <w:rPr>
          <w:rFonts w:ascii="Arial" w:hAnsi="Arial" w:cs="Arial"/>
          <w:sz w:val="18"/>
          <w:szCs w:val="18"/>
          <w:lang w:val="en-US"/>
        </w:rPr>
        <w:t>, ICSID Case No. ARB/08/5 (formerly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Burlington Resources Inc. and others v. Republic of Ecuador and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Empresa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Estatal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Petróleos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del Ecuador (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PetroEcuador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)</w:t>
      </w:r>
    </w:p>
    <w:p w14:paraId="4F4B01AE" w14:textId="78899E04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B8C5B23" w14:textId="1EB5CEC3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 du15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septembre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AB4358">
        <w:rPr>
          <w:rFonts w:ascii="Arial" w:hAnsi="Arial" w:cs="Arial"/>
          <w:sz w:val="18"/>
          <w:szCs w:val="18"/>
          <w:lang w:val="en-US"/>
        </w:rPr>
        <w:t>2017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,Caratube</w:t>
      </w:r>
      <w:proofErr w:type="gram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International Oil Company LLP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Devincci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Salah Hourani v. Republic of Kazakhstan </w:t>
      </w:r>
      <w:r w:rsidRPr="00AB4358">
        <w:rPr>
          <w:rFonts w:ascii="Arial" w:hAnsi="Arial" w:cs="Arial"/>
          <w:sz w:val="18"/>
          <w:szCs w:val="18"/>
          <w:lang w:val="en-US"/>
        </w:rPr>
        <w:t xml:space="preserve">(ICSID Case No. </w:t>
      </w:r>
      <w:r w:rsidRPr="00AB4358">
        <w:rPr>
          <w:rFonts w:ascii="Arial" w:hAnsi="Arial" w:cs="Arial"/>
          <w:sz w:val="18"/>
          <w:szCs w:val="18"/>
        </w:rPr>
        <w:t>ARB/13/13)</w:t>
      </w:r>
    </w:p>
    <w:p w14:paraId="229108E9" w14:textId="6C7DE111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310F9927" w14:textId="3CB45221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 xml:space="preserve">Conclusions du 19 septembre 2017 de l’Avocat général </w:t>
      </w:r>
      <w:proofErr w:type="spellStart"/>
      <w:r w:rsidRPr="00AB4358">
        <w:rPr>
          <w:rFonts w:ascii="Arial" w:hAnsi="Arial" w:cs="Arial"/>
          <w:sz w:val="18"/>
          <w:szCs w:val="18"/>
        </w:rPr>
        <w:t>Wathelet</w:t>
      </w:r>
      <w:proofErr w:type="spellEnd"/>
      <w:r w:rsidRPr="00AB4358">
        <w:rPr>
          <w:rFonts w:ascii="Arial" w:hAnsi="Arial" w:cs="Arial"/>
          <w:sz w:val="18"/>
          <w:szCs w:val="18"/>
        </w:rPr>
        <w:t> dans l’affaire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Slowakische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Republik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c.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Achmea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BV </w:t>
      </w:r>
      <w:r w:rsidRPr="00AB4358">
        <w:rPr>
          <w:rFonts w:ascii="Arial" w:hAnsi="Arial" w:cs="Arial"/>
          <w:sz w:val="18"/>
          <w:szCs w:val="18"/>
        </w:rPr>
        <w:t>pendante devant la Cour de Justice de l’Union européenne (</w:t>
      </w:r>
      <w:proofErr w:type="spellStart"/>
      <w:r w:rsidRPr="00AB4358">
        <w:rPr>
          <w:rFonts w:ascii="Arial" w:hAnsi="Arial" w:cs="Arial"/>
          <w:sz w:val="18"/>
          <w:szCs w:val="18"/>
        </w:rPr>
        <w:t>aff.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</w:t>
      </w:r>
      <w:r w:rsidRPr="00AB4358">
        <w:rPr>
          <w:rFonts w:ascii="Arial" w:hAnsi="Arial" w:cs="Arial"/>
          <w:sz w:val="18"/>
          <w:szCs w:val="18"/>
          <w:lang w:val="en-US"/>
        </w:rPr>
        <w:t>C-284/16)</w:t>
      </w:r>
    </w:p>
    <w:p w14:paraId="3E734416" w14:textId="1D7C2C57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6707CE71" w14:textId="0C767C9B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 du 27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septembre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Caratube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International Oil Company LLP and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Devincci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Salah Hourani v. Republic of Kazakhstan </w:t>
      </w:r>
      <w:r w:rsidRPr="00AB4358">
        <w:rPr>
          <w:rFonts w:ascii="Arial" w:hAnsi="Arial" w:cs="Arial"/>
          <w:sz w:val="18"/>
          <w:szCs w:val="18"/>
          <w:lang w:val="en-US"/>
        </w:rPr>
        <w:t>(ICSID Case No. ARB/13/13)</w:t>
      </w:r>
    </w:p>
    <w:p w14:paraId="3187A5B6" w14:textId="2EBE0955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3BECF6BB" w14:textId="27AB6BD4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Décision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du 3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octobre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Gambrinus, Corp. v. Bolivarian Republic of Venezuela </w:t>
      </w:r>
      <w:r w:rsidRPr="00AB4358">
        <w:rPr>
          <w:rFonts w:ascii="Arial" w:hAnsi="Arial" w:cs="Arial"/>
          <w:sz w:val="18"/>
          <w:szCs w:val="18"/>
          <w:lang w:val="en-US"/>
        </w:rPr>
        <w:t>(ICSID Case No. ARB/11/31)</w:t>
      </w:r>
    </w:p>
    <w:p w14:paraId="0CC245F1" w14:textId="59C72D1A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401F882" w14:textId="1E9038B9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 30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octobre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Koch Minerals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Sàrl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and Koch Nitrogen International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Sàrl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v. Bolivarian Republic of Venezuela </w:t>
      </w:r>
      <w:r w:rsidRPr="00AB4358">
        <w:rPr>
          <w:rFonts w:ascii="Arial" w:hAnsi="Arial" w:cs="Arial"/>
          <w:sz w:val="18"/>
          <w:szCs w:val="18"/>
          <w:lang w:val="en-US"/>
        </w:rPr>
        <w:t xml:space="preserve">(ICSID Case No. </w:t>
      </w:r>
      <w:r w:rsidRPr="00AB4358">
        <w:rPr>
          <w:rFonts w:ascii="Arial" w:hAnsi="Arial" w:cs="Arial"/>
          <w:sz w:val="18"/>
          <w:szCs w:val="18"/>
        </w:rPr>
        <w:t>ARB/11/19)</w:t>
      </w:r>
    </w:p>
    <w:p w14:paraId="2AA7516B" w14:textId="2266CEAE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FEB4691" w14:textId="3921C2DE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>Sentence du 13 novembre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Fábrica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Vidrios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Los Andes, C.A. and Owens-Illinois de Venezuela, C.A.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Bolivarian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Venezuela </w:t>
      </w:r>
      <w:r w:rsidRPr="00AB4358">
        <w:rPr>
          <w:rFonts w:ascii="Arial" w:hAnsi="Arial" w:cs="Arial"/>
          <w:sz w:val="18"/>
          <w:szCs w:val="18"/>
        </w:rPr>
        <w:t xml:space="preserve">(ICSID Case No. </w:t>
      </w:r>
      <w:r w:rsidRPr="00AB4358">
        <w:rPr>
          <w:rFonts w:ascii="Arial" w:hAnsi="Arial" w:cs="Arial"/>
          <w:sz w:val="18"/>
          <w:szCs w:val="18"/>
          <w:lang w:val="en-US"/>
        </w:rPr>
        <w:t>ARB/12/21)</w:t>
      </w:r>
    </w:p>
    <w:p w14:paraId="2FFF1A91" w14:textId="6EBB97EF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68AB0A1C" w14:textId="5F3D9856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 du 30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novembre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, Bear Creek Mining Corporation v. Republic of Peru </w:t>
      </w:r>
      <w:r w:rsidRPr="00AB4358">
        <w:rPr>
          <w:rFonts w:ascii="Arial" w:hAnsi="Arial" w:cs="Arial"/>
          <w:sz w:val="18"/>
          <w:szCs w:val="18"/>
          <w:lang w:val="en-US"/>
        </w:rPr>
        <w:t>(ICSID Case No. </w:t>
      </w:r>
      <w:r w:rsidRPr="00AB4358">
        <w:rPr>
          <w:rFonts w:ascii="Arial" w:hAnsi="Arial" w:cs="Arial"/>
          <w:sz w:val="18"/>
          <w:szCs w:val="18"/>
        </w:rPr>
        <w:t>ARB/14/2)</w:t>
      </w:r>
    </w:p>
    <w:p w14:paraId="04AFC16C" w14:textId="2CD46FE4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59BF944" w14:textId="707BBC3C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Décision sur la compétence du 4 décembre 2017, 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Infinito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Gold Ltd. v. Costa Rica </w:t>
      </w:r>
      <w:r w:rsidRPr="00AB4358">
        <w:rPr>
          <w:rFonts w:ascii="Arial" w:hAnsi="Arial" w:cs="Arial"/>
          <w:sz w:val="18"/>
          <w:szCs w:val="18"/>
        </w:rPr>
        <w:t>(ICSID Case No. ARB/14/5)</w:t>
      </w:r>
    </w:p>
    <w:p w14:paraId="2BB685EA" w14:textId="578691CE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43C1E2E" w14:textId="22D6692A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</w:rPr>
        <w:t>Décision du 13 décembre 2017 sur les objections préliminaires</w:t>
      </w:r>
      <w:r w:rsidRPr="00AB4358">
        <w:rPr>
          <w:rFonts w:ascii="Arial" w:hAnsi="Arial" w:cs="Arial"/>
          <w:i/>
          <w:iCs/>
          <w:sz w:val="18"/>
          <w:szCs w:val="18"/>
        </w:rPr>
        <w:t xml:space="preserve">, Bridgestone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Licensing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Services, Inc. and Bridgestone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Americas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, Inc. v.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</w:rPr>
        <w:t>Republic</w:t>
      </w:r>
      <w:proofErr w:type="spellEnd"/>
      <w:r w:rsidRPr="00AB4358">
        <w:rPr>
          <w:rFonts w:ascii="Arial" w:hAnsi="Arial" w:cs="Arial"/>
          <w:i/>
          <w:iCs/>
          <w:sz w:val="18"/>
          <w:szCs w:val="18"/>
        </w:rPr>
        <w:t xml:space="preserve"> of Panama</w:t>
      </w:r>
      <w:r w:rsidRPr="00AB4358">
        <w:rPr>
          <w:rFonts w:ascii="Arial" w:hAnsi="Arial" w:cs="Arial"/>
          <w:sz w:val="18"/>
          <w:szCs w:val="18"/>
        </w:rPr>
        <w:t xml:space="preserve"> (ICSID Case No. </w:t>
      </w:r>
      <w:r w:rsidRPr="00AB4358">
        <w:rPr>
          <w:rFonts w:ascii="Arial" w:hAnsi="Arial" w:cs="Arial"/>
          <w:sz w:val="18"/>
          <w:szCs w:val="18"/>
          <w:lang w:val="en-US"/>
        </w:rPr>
        <w:t>ARB/16/34)</w:t>
      </w:r>
    </w:p>
    <w:p w14:paraId="615E78B7" w14:textId="05E4CA64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049F28E" w14:textId="168D26A9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t xml:space="preserve">Sentence du 14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, Fouad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Alghanim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&amp; Sons Co. for General Trading &amp; Contracting, W.L.L. and Fouad Mohammed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Thunyan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AB4358">
        <w:rPr>
          <w:rFonts w:ascii="Arial" w:hAnsi="Arial" w:cs="Arial"/>
          <w:i/>
          <w:iCs/>
          <w:sz w:val="18"/>
          <w:szCs w:val="18"/>
          <w:lang w:val="en-US"/>
        </w:rPr>
        <w:t>Alghanim</w:t>
      </w:r>
      <w:proofErr w:type="spellEnd"/>
      <w:r w:rsidRPr="00AB4358">
        <w:rPr>
          <w:rFonts w:ascii="Arial" w:hAnsi="Arial" w:cs="Arial"/>
          <w:i/>
          <w:iCs/>
          <w:sz w:val="18"/>
          <w:szCs w:val="18"/>
          <w:lang w:val="en-US"/>
        </w:rPr>
        <w:t xml:space="preserve"> v. Hashemite Kingdom of Jordan</w:t>
      </w:r>
      <w:r w:rsidRPr="00AB4358">
        <w:rPr>
          <w:rFonts w:ascii="Arial" w:hAnsi="Arial" w:cs="Arial"/>
          <w:sz w:val="18"/>
          <w:szCs w:val="18"/>
          <w:lang w:val="en-US"/>
        </w:rPr>
        <w:t> (ICSID Case No. ARB/13/38)</w:t>
      </w:r>
    </w:p>
    <w:p w14:paraId="2FEADE8B" w14:textId="3EDA66A3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42F93D1C" w14:textId="7A531D6C" w:rsidR="00AB4358" w:rsidRPr="00AB4358" w:rsidRDefault="00AB4358" w:rsidP="00AB4358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AB4358">
        <w:rPr>
          <w:rFonts w:ascii="Arial" w:hAnsi="Arial" w:cs="Arial"/>
          <w:sz w:val="18"/>
          <w:szCs w:val="18"/>
          <w:lang w:val="en-US"/>
        </w:rPr>
        <w:lastRenderedPageBreak/>
        <w:t xml:space="preserve">Sentence du 22 </w:t>
      </w:r>
      <w:proofErr w:type="spellStart"/>
      <w:r w:rsidRPr="00AB4358">
        <w:rPr>
          <w:rFonts w:ascii="Arial" w:hAnsi="Arial" w:cs="Arial"/>
          <w:sz w:val="18"/>
          <w:szCs w:val="18"/>
          <w:lang w:val="en-US"/>
        </w:rPr>
        <w:t>décembre</w:t>
      </w:r>
      <w:proofErr w:type="spellEnd"/>
      <w:r w:rsidRPr="00AB4358">
        <w:rPr>
          <w:rFonts w:ascii="Arial" w:hAnsi="Arial" w:cs="Arial"/>
          <w:sz w:val="18"/>
          <w:szCs w:val="18"/>
          <w:lang w:val="en-US"/>
        </w:rPr>
        <w:t xml:space="preserve"> 2017, </w:t>
      </w:r>
      <w:r w:rsidRPr="00AB4358">
        <w:rPr>
          <w:rFonts w:ascii="Arial" w:hAnsi="Arial" w:cs="Arial"/>
          <w:i/>
          <w:iCs/>
          <w:sz w:val="18"/>
          <w:szCs w:val="18"/>
          <w:lang w:val="en-US"/>
        </w:rPr>
        <w:t>Lighthouse Corporation Pty Ltd and Lighthouse Corporation Ltd, IBC v. Democratic Republic of Timor-Leste</w:t>
      </w:r>
      <w:r w:rsidRPr="00AB4358">
        <w:rPr>
          <w:rFonts w:ascii="Arial" w:hAnsi="Arial" w:cs="Arial"/>
          <w:sz w:val="18"/>
          <w:szCs w:val="18"/>
          <w:lang w:val="en-US"/>
        </w:rPr>
        <w:t> (ICSID Case No. ARB/15/2)</w:t>
      </w:r>
    </w:p>
    <w:p w14:paraId="57C34D7B" w14:textId="7A803ED2" w:rsid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</w:p>
    <w:p w14:paraId="409BABA9" w14:textId="2A1CF5BD" w:rsid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Autres activités scientifiques</w:t>
      </w:r>
      <w:r>
        <w:rPr>
          <w:rFonts w:ascii="Arial" w:hAnsi="Arial" w:cs="Arial"/>
          <w:b/>
          <w:bCs/>
          <w:color w:val="C00000"/>
          <w:sz w:val="20"/>
          <w:szCs w:val="20"/>
        </w:rPr>
        <w:t> :</w:t>
      </w:r>
    </w:p>
    <w:p w14:paraId="340C1AD8" w14:textId="77777777" w:rsid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68C75C9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21 janvier 2016</w:t>
      </w:r>
      <w:r w:rsidRPr="00AB4358">
        <w:rPr>
          <w:rFonts w:ascii="Arial" w:hAnsi="Arial" w:cs="Arial"/>
          <w:sz w:val="18"/>
          <w:szCs w:val="18"/>
        </w:rPr>
        <w:t> : Intervention au Département d’Études des Relations Privés Internationales (DERPI de Paris I) sur le thème « L’actualité de l’ordre public à l’épreuve des répudiations ».</w:t>
      </w:r>
    </w:p>
    <w:p w14:paraId="258F4DCD" w14:textId="295752BE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5A88AA4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2 décembre 2015 :</w:t>
      </w:r>
      <w:r w:rsidRPr="00AB4358">
        <w:rPr>
          <w:rFonts w:ascii="Arial" w:hAnsi="Arial" w:cs="Arial"/>
          <w:sz w:val="18"/>
          <w:szCs w:val="18"/>
        </w:rPr>
        <w:t> Intervention intitulée « </w:t>
      </w:r>
      <w:proofErr w:type="gramStart"/>
      <w:r w:rsidRPr="00AB4358">
        <w:rPr>
          <w:rFonts w:ascii="Arial" w:hAnsi="Arial" w:cs="Arial"/>
          <w:sz w:val="18"/>
          <w:szCs w:val="18"/>
        </w:rPr>
        <w:t>Sanctions:</w:t>
      </w:r>
      <w:proofErr w:type="gramEnd"/>
      <w:r w:rsidRPr="00AB4358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Pr="00AB4358">
        <w:rPr>
          <w:rFonts w:ascii="Arial" w:hAnsi="Arial" w:cs="Arial"/>
          <w:sz w:val="18"/>
          <w:szCs w:val="18"/>
        </w:rPr>
        <w:t>they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 compliant </w:t>
      </w:r>
      <w:proofErr w:type="spellStart"/>
      <w:r w:rsidRPr="00AB4358">
        <w:rPr>
          <w:rFonts w:ascii="Arial" w:hAnsi="Arial" w:cs="Arial"/>
          <w:sz w:val="18"/>
          <w:szCs w:val="18"/>
        </w:rPr>
        <w:t>with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public and </w:t>
      </w:r>
      <w:proofErr w:type="spellStart"/>
      <w:r w:rsidRPr="00AB4358">
        <w:rPr>
          <w:rFonts w:ascii="Arial" w:hAnsi="Arial" w:cs="Arial"/>
          <w:sz w:val="18"/>
          <w:szCs w:val="18"/>
        </w:rPr>
        <w:t>private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international </w:t>
      </w:r>
      <w:proofErr w:type="spellStart"/>
      <w:r w:rsidRPr="00AB4358">
        <w:rPr>
          <w:rFonts w:ascii="Arial" w:hAnsi="Arial" w:cs="Arial"/>
          <w:sz w:val="18"/>
          <w:szCs w:val="18"/>
        </w:rPr>
        <w:t>law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? Impact on </w:t>
      </w:r>
      <w:proofErr w:type="spellStart"/>
      <w:r w:rsidRPr="00AB4358">
        <w:rPr>
          <w:rFonts w:ascii="Arial" w:hAnsi="Arial" w:cs="Arial"/>
          <w:sz w:val="18"/>
          <w:szCs w:val="18"/>
        </w:rPr>
        <w:t>credit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AB4358">
        <w:rPr>
          <w:rFonts w:ascii="Arial" w:hAnsi="Arial" w:cs="Arial"/>
          <w:sz w:val="18"/>
          <w:szCs w:val="18"/>
        </w:rPr>
        <w:t>political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sz w:val="18"/>
          <w:szCs w:val="18"/>
        </w:rPr>
        <w:t>risks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sz w:val="18"/>
          <w:szCs w:val="18"/>
        </w:rPr>
        <w:t>insurance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sz w:val="18"/>
          <w:szCs w:val="18"/>
        </w:rPr>
        <w:t>policies</w:t>
      </w:r>
      <w:proofErr w:type="spellEnd"/>
      <w:r w:rsidRPr="00AB4358">
        <w:rPr>
          <w:rFonts w:ascii="Arial" w:hAnsi="Arial" w:cs="Arial"/>
          <w:sz w:val="18"/>
          <w:szCs w:val="18"/>
        </w:rPr>
        <w:t> » devant le Comité assurance-crédit de l’Association International de Droit des Assurances (AIDA)</w:t>
      </w:r>
    </w:p>
    <w:p w14:paraId="2DDB6EE6" w14:textId="60D4F9AD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63A45AB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29 novembre 2013 :</w:t>
      </w:r>
      <w:r w:rsidRPr="00AB4358">
        <w:rPr>
          <w:rFonts w:ascii="Arial" w:hAnsi="Arial" w:cs="Arial"/>
          <w:sz w:val="18"/>
          <w:szCs w:val="18"/>
        </w:rPr>
        <w:t> Intervention intitulée « La preuve en matière de contentieux international », </w:t>
      </w:r>
      <w:r w:rsidRPr="00AB4358">
        <w:rPr>
          <w:rFonts w:ascii="Arial" w:hAnsi="Arial" w:cs="Arial"/>
          <w:i/>
          <w:iCs/>
          <w:sz w:val="18"/>
          <w:szCs w:val="18"/>
        </w:rPr>
        <w:t>in Preuve : regards croisés</w:t>
      </w:r>
      <w:r w:rsidRPr="00AB4358">
        <w:rPr>
          <w:rFonts w:ascii="Arial" w:hAnsi="Arial" w:cs="Arial"/>
          <w:sz w:val="18"/>
          <w:szCs w:val="18"/>
        </w:rPr>
        <w:t xml:space="preserve">, Colloque </w:t>
      </w:r>
      <w:proofErr w:type="spellStart"/>
      <w:r w:rsidRPr="00AB4358">
        <w:rPr>
          <w:rFonts w:ascii="Arial" w:hAnsi="Arial" w:cs="Arial"/>
          <w:sz w:val="18"/>
          <w:szCs w:val="18"/>
        </w:rPr>
        <w:t>Grand’chambre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de la Cour de cassation</w:t>
      </w:r>
    </w:p>
    <w:p w14:paraId="148FA257" w14:textId="749A5698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553A8B0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15 avril 2013</w:t>
      </w:r>
      <w:r w:rsidRPr="00AB4358">
        <w:rPr>
          <w:rFonts w:ascii="Arial" w:hAnsi="Arial" w:cs="Arial"/>
          <w:sz w:val="18"/>
          <w:szCs w:val="18"/>
        </w:rPr>
        <w:t> : Intervention intitulée « La réforme et le droit international privé » au colloque organisé par l’Association du Master 2 de droit privé général de l’Université Panthéon-Assas sur l’ouverture du mariage aux personnes de même sexe.</w:t>
      </w:r>
    </w:p>
    <w:p w14:paraId="557B53E8" w14:textId="722EACF1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74EE1AA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31 janvier 2013 :</w:t>
      </w:r>
      <w:r w:rsidRPr="00AB4358">
        <w:rPr>
          <w:rFonts w:ascii="Arial" w:hAnsi="Arial" w:cs="Arial"/>
          <w:sz w:val="18"/>
          <w:szCs w:val="18"/>
        </w:rPr>
        <w:t> Intervention à une table ronde intitulée « Immunité de juridiction et droit au procès équitable » à l’Université de Poitiers</w:t>
      </w:r>
    </w:p>
    <w:p w14:paraId="283436AA" w14:textId="09F9CE7F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621CDA1" w14:textId="4F73A4DE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21 septembre 2011 :</w:t>
      </w:r>
      <w:r w:rsidRPr="00AB4358">
        <w:rPr>
          <w:rFonts w:ascii="Arial" w:hAnsi="Arial" w:cs="Arial"/>
          <w:sz w:val="18"/>
          <w:szCs w:val="18"/>
        </w:rPr>
        <w:t> Intervention intitulée « Ordre public et lois de police en droit international privé des contrats » à l’Université de Rosario (Bogota, Colombie)</w:t>
      </w:r>
    </w:p>
    <w:p w14:paraId="09DA8A55" w14:textId="1518222B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FF9A7A3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25 juin 2010</w:t>
      </w:r>
      <w:r w:rsidRPr="00AB4358">
        <w:rPr>
          <w:rFonts w:ascii="Arial" w:hAnsi="Arial" w:cs="Arial"/>
          <w:sz w:val="18"/>
          <w:szCs w:val="18"/>
        </w:rPr>
        <w:t> </w:t>
      </w:r>
      <w:r w:rsidRPr="00AB4358">
        <w:rPr>
          <w:rFonts w:ascii="Arial" w:hAnsi="Arial" w:cs="Arial"/>
          <w:b/>
          <w:bCs/>
          <w:sz w:val="18"/>
          <w:szCs w:val="18"/>
        </w:rPr>
        <w:t>:</w:t>
      </w:r>
      <w:r w:rsidRPr="00AB4358">
        <w:rPr>
          <w:rFonts w:ascii="Arial" w:hAnsi="Arial" w:cs="Arial"/>
          <w:sz w:val="18"/>
          <w:szCs w:val="18"/>
        </w:rPr>
        <w:t> Intervention relative aux « Techniques interprétatives et systèmes de droit » au</w:t>
      </w:r>
    </w:p>
    <w:p w14:paraId="47A0DA00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sz w:val="18"/>
          <w:szCs w:val="18"/>
        </w:rPr>
        <w:t>Colloque organisé par l’Université de Poitiers sur « Les techniques interprétatives de la norme internationale »</w:t>
      </w:r>
    </w:p>
    <w:p w14:paraId="00D81E47" w14:textId="1E6881D1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E0E28F6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20 mai 2010</w:t>
      </w:r>
      <w:r w:rsidRPr="00AB4358">
        <w:rPr>
          <w:rFonts w:ascii="Arial" w:hAnsi="Arial" w:cs="Arial"/>
          <w:sz w:val="18"/>
          <w:szCs w:val="18"/>
        </w:rPr>
        <w:t> </w:t>
      </w:r>
      <w:r w:rsidRPr="00AB4358">
        <w:rPr>
          <w:rFonts w:ascii="Arial" w:hAnsi="Arial" w:cs="Arial"/>
          <w:b/>
          <w:bCs/>
          <w:sz w:val="18"/>
          <w:szCs w:val="18"/>
        </w:rPr>
        <w:t>:</w:t>
      </w:r>
      <w:r w:rsidRPr="00AB4358">
        <w:rPr>
          <w:rFonts w:ascii="Arial" w:hAnsi="Arial" w:cs="Arial"/>
          <w:sz w:val="18"/>
          <w:szCs w:val="18"/>
        </w:rPr>
        <w:t xml:space="preserve"> Organisation, intervention et direction scientifique de la journée d’étude « Le mandat </w:t>
      </w:r>
      <w:proofErr w:type="gramStart"/>
      <w:r w:rsidRPr="00AB4358">
        <w:rPr>
          <w:rFonts w:ascii="Arial" w:hAnsi="Arial" w:cs="Arial"/>
          <w:sz w:val="18"/>
          <w:szCs w:val="18"/>
        </w:rPr>
        <w:t>en questions</w:t>
      </w:r>
      <w:proofErr w:type="gramEnd"/>
      <w:r w:rsidRPr="00AB4358">
        <w:rPr>
          <w:rFonts w:ascii="Arial" w:hAnsi="Arial" w:cs="Arial"/>
          <w:sz w:val="18"/>
          <w:szCs w:val="18"/>
        </w:rPr>
        <w:t> » de l’Equipe de recherche de droit privé de la Faculté de droit de Poitiers</w:t>
      </w:r>
    </w:p>
    <w:p w14:paraId="004654CA" w14:textId="43988346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52F8C4C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17 avril 2010 :</w:t>
      </w:r>
      <w:r w:rsidRPr="00AB4358">
        <w:rPr>
          <w:rFonts w:ascii="Arial" w:hAnsi="Arial" w:cs="Arial"/>
          <w:sz w:val="18"/>
          <w:szCs w:val="18"/>
        </w:rPr>
        <w:t> Intervention relative au « Corps humain et droit de la preuve » au Colloque organisé par l’Université de Kairouan, Tunisie sur « Le corps humain à l’épreuve du droit »</w:t>
      </w:r>
    </w:p>
    <w:p w14:paraId="2C25FAF5" w14:textId="6CD88DF5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8194579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11 juillet 2009 :</w:t>
      </w:r>
      <w:r w:rsidRPr="00AB4358">
        <w:rPr>
          <w:rFonts w:ascii="Arial" w:hAnsi="Arial" w:cs="Arial"/>
          <w:sz w:val="18"/>
          <w:szCs w:val="18"/>
        </w:rPr>
        <w:t> Participation à un </w:t>
      </w:r>
      <w:r w:rsidRPr="00AB4358">
        <w:rPr>
          <w:rFonts w:ascii="Arial" w:hAnsi="Arial" w:cs="Arial"/>
          <w:i/>
          <w:iCs/>
          <w:sz w:val="18"/>
          <w:szCs w:val="18"/>
        </w:rPr>
        <w:t>workshop </w:t>
      </w:r>
      <w:r w:rsidRPr="00AB4358">
        <w:rPr>
          <w:rFonts w:ascii="Arial" w:hAnsi="Arial" w:cs="Arial"/>
          <w:sz w:val="18"/>
          <w:szCs w:val="18"/>
        </w:rPr>
        <w:t xml:space="preserve">sur le thème « Le préjudice en droit » à l’Université de </w:t>
      </w:r>
      <w:proofErr w:type="spellStart"/>
      <w:r w:rsidRPr="00AB4358">
        <w:rPr>
          <w:rFonts w:ascii="Arial" w:hAnsi="Arial" w:cs="Arial"/>
          <w:sz w:val="18"/>
          <w:szCs w:val="18"/>
        </w:rPr>
        <w:t>Keio</w:t>
      </w:r>
      <w:proofErr w:type="spellEnd"/>
      <w:r w:rsidRPr="00AB4358">
        <w:rPr>
          <w:rFonts w:ascii="Arial" w:hAnsi="Arial" w:cs="Arial"/>
          <w:sz w:val="18"/>
          <w:szCs w:val="18"/>
        </w:rPr>
        <w:t>, Tokyo, dans le cadre du programme de recherche « New Global Law and Policy for Multi-</w:t>
      </w:r>
      <w:proofErr w:type="spellStart"/>
      <w:r w:rsidRPr="00AB4358">
        <w:rPr>
          <w:rFonts w:ascii="Arial" w:hAnsi="Arial" w:cs="Arial"/>
          <w:sz w:val="18"/>
          <w:szCs w:val="18"/>
        </w:rPr>
        <w:t>agential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sz w:val="18"/>
          <w:szCs w:val="18"/>
        </w:rPr>
        <w:t>Governance</w:t>
      </w:r>
      <w:proofErr w:type="spellEnd"/>
      <w:r w:rsidRPr="00AB4358">
        <w:rPr>
          <w:rFonts w:ascii="Arial" w:hAnsi="Arial" w:cs="Arial"/>
          <w:sz w:val="18"/>
          <w:szCs w:val="18"/>
        </w:rPr>
        <w:t> »</w:t>
      </w:r>
    </w:p>
    <w:p w14:paraId="0C8AFCD7" w14:textId="79BEEB2B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B127B54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4 juillet 2009</w:t>
      </w:r>
      <w:r w:rsidRPr="00AB4358">
        <w:rPr>
          <w:rFonts w:ascii="Arial" w:hAnsi="Arial" w:cs="Arial"/>
          <w:sz w:val="18"/>
          <w:szCs w:val="18"/>
        </w:rPr>
        <w:t> </w:t>
      </w:r>
      <w:r w:rsidRPr="00AB4358">
        <w:rPr>
          <w:rFonts w:ascii="Arial" w:hAnsi="Arial" w:cs="Arial"/>
          <w:b/>
          <w:bCs/>
          <w:sz w:val="18"/>
          <w:szCs w:val="18"/>
        </w:rPr>
        <w:t>:</w:t>
      </w:r>
      <w:r w:rsidRPr="00AB4358">
        <w:rPr>
          <w:rFonts w:ascii="Arial" w:hAnsi="Arial" w:cs="Arial"/>
          <w:sz w:val="18"/>
          <w:szCs w:val="18"/>
        </w:rPr>
        <w:t> Conférence sur « L’efficacité et droit international privé » à l’Université d’Hokkaido, Sapporo, dans le cadre du programme de recherche « New Global Law and Policy for Multi-</w:t>
      </w:r>
      <w:proofErr w:type="spellStart"/>
      <w:r w:rsidRPr="00AB4358">
        <w:rPr>
          <w:rFonts w:ascii="Arial" w:hAnsi="Arial" w:cs="Arial"/>
          <w:sz w:val="18"/>
          <w:szCs w:val="18"/>
        </w:rPr>
        <w:t>agential</w:t>
      </w:r>
      <w:proofErr w:type="spellEnd"/>
      <w:r w:rsidRPr="00AB43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B4358">
        <w:rPr>
          <w:rFonts w:ascii="Arial" w:hAnsi="Arial" w:cs="Arial"/>
          <w:sz w:val="18"/>
          <w:szCs w:val="18"/>
        </w:rPr>
        <w:t>Governance</w:t>
      </w:r>
      <w:proofErr w:type="spellEnd"/>
      <w:r w:rsidRPr="00AB4358">
        <w:rPr>
          <w:rFonts w:ascii="Arial" w:hAnsi="Arial" w:cs="Arial"/>
          <w:sz w:val="18"/>
          <w:szCs w:val="18"/>
        </w:rPr>
        <w:t> »</w:t>
      </w:r>
    </w:p>
    <w:p w14:paraId="1F121A56" w14:textId="4CEC28C2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4892066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17 mars 2009 </w:t>
      </w:r>
      <w:r w:rsidRPr="00AB4358">
        <w:rPr>
          <w:rFonts w:ascii="Arial" w:hAnsi="Arial" w:cs="Arial"/>
          <w:sz w:val="18"/>
          <w:szCs w:val="18"/>
        </w:rPr>
        <w:t xml:space="preserve">: Présidence en anglais de la table ronde consacrée au thème « Droit de la propriété intellectuelle » aux </w:t>
      </w:r>
      <w:proofErr w:type="gramStart"/>
      <w:r w:rsidRPr="00AB4358">
        <w:rPr>
          <w:rFonts w:ascii="Arial" w:hAnsi="Arial" w:cs="Arial"/>
          <w:sz w:val="18"/>
          <w:szCs w:val="18"/>
        </w:rPr>
        <w:t>rencontres  franco</w:t>
      </w:r>
      <w:proofErr w:type="gramEnd"/>
      <w:r w:rsidRPr="00AB4358">
        <w:rPr>
          <w:rFonts w:ascii="Arial" w:hAnsi="Arial" w:cs="Arial"/>
          <w:sz w:val="18"/>
          <w:szCs w:val="18"/>
        </w:rPr>
        <w:t>-indiennes « Droit et mondialisation » organisées par la Société de législation comparée</w:t>
      </w:r>
    </w:p>
    <w:p w14:paraId="6BACA3A5" w14:textId="09D7FCA7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90EF2CA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10 avril 2009 :</w:t>
      </w:r>
      <w:r w:rsidRPr="00AB4358">
        <w:rPr>
          <w:rFonts w:ascii="Arial" w:hAnsi="Arial" w:cs="Arial"/>
          <w:sz w:val="18"/>
          <w:szCs w:val="18"/>
        </w:rPr>
        <w:t> Intervention relative à « La preuve dans le contentieux international » au Colloque organisé par l’Ordre des avocats de Sfax, Tunisie, sur « L’évolution du droit de la preuve »</w:t>
      </w:r>
    </w:p>
    <w:p w14:paraId="2D852758" w14:textId="34256DD5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8432D63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t>10 octobre 2008 :</w:t>
      </w:r>
      <w:r w:rsidRPr="00AB4358">
        <w:rPr>
          <w:rFonts w:ascii="Arial" w:hAnsi="Arial" w:cs="Arial"/>
          <w:sz w:val="18"/>
          <w:szCs w:val="18"/>
        </w:rPr>
        <w:t> Intervention relative aux « Clauses attributives de juridiction » au Colloque organisé par la Faculté de droit de Sfax, Tunisie, sur les « Clauses contractuelles sensibles »</w:t>
      </w:r>
    </w:p>
    <w:p w14:paraId="743127AC" w14:textId="299660A3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CCBE33A" w14:textId="77777777" w:rsidR="00AB4358" w:rsidRPr="00AB4358" w:rsidRDefault="00AB4358" w:rsidP="00AB4358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AB4358">
        <w:rPr>
          <w:rFonts w:ascii="Arial" w:hAnsi="Arial" w:cs="Arial"/>
          <w:b/>
          <w:bCs/>
          <w:sz w:val="18"/>
          <w:szCs w:val="18"/>
        </w:rPr>
        <w:lastRenderedPageBreak/>
        <w:t>15 mai 2008 :</w:t>
      </w:r>
      <w:r w:rsidRPr="00AB4358">
        <w:rPr>
          <w:rFonts w:ascii="Arial" w:hAnsi="Arial" w:cs="Arial"/>
          <w:sz w:val="18"/>
          <w:szCs w:val="18"/>
        </w:rPr>
        <w:t> Intervention relative à « La conformité des clauses de sortie de l’investisseur à l’article 1 du Premier protocole de la Convention Européenne des Droit de l’Homme » au Colloque intitulé « Quitter une société par actions » organisé par le Magistère de droit des activités économiques de l’Université Panthéon-Sorbonne (Paris 1)</w:t>
      </w:r>
    </w:p>
    <w:p w14:paraId="7E3C769D" w14:textId="77777777" w:rsidR="00AB4358" w:rsidRP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4F70802" w14:textId="50279AF5" w:rsidR="00AB4358" w:rsidRDefault="00AB4358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Soutenances de thèse et HDR :</w:t>
      </w:r>
    </w:p>
    <w:p w14:paraId="1A7079EE" w14:textId="680264FE" w:rsidR="00C9115E" w:rsidRDefault="00C9115E" w:rsidP="00AB435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03E862C8" w14:textId="6EEA4239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Habilitation à diriger les recherches de Madame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Pimbert</w:t>
      </w:r>
      <w:proofErr w:type="spellEnd"/>
    </w:p>
    <w:p w14:paraId="05223BDF" w14:textId="41F8DEF5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0D5F89BF" w14:textId="038E2B9C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monsieur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Saa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L’évolution du risque et droit des assurances – Étude selon les droits français et CIMA</w:t>
      </w:r>
      <w:r w:rsidRPr="00C9115E">
        <w:rPr>
          <w:rFonts w:ascii="Arial" w:hAnsi="Arial" w:cs="Arial"/>
          <w:bCs/>
          <w:sz w:val="18"/>
          <w:szCs w:val="20"/>
        </w:rPr>
        <w:t xml:space="preserve">, sous la direction de Messieurs les professeurs Vincent Heuzé, Université Panthéon-Sorbonne (Paris I) et Jean-Marie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Tchakoua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Université Yaoundé II</w:t>
      </w:r>
    </w:p>
    <w:p w14:paraId="25340C8D" w14:textId="4624B72E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58D23E7C" w14:textId="09942998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Madame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Jeauneau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L’ordre public en droit national et en droit de l’Union européenne, Essai de systématisation</w:t>
      </w:r>
      <w:r w:rsidRPr="00C9115E">
        <w:rPr>
          <w:rFonts w:ascii="Arial" w:hAnsi="Arial" w:cs="Arial"/>
          <w:bCs/>
          <w:sz w:val="18"/>
          <w:szCs w:val="20"/>
        </w:rPr>
        <w:t>, sous la direction de Monsieur le professeur Vincent Heuzé, Université Panthéon-Sorbonne (Paris I)</w:t>
      </w:r>
    </w:p>
    <w:p w14:paraId="14B3FCE8" w14:textId="640C561D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57FA0C4C" w14:textId="4850885A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Madame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Rahmouni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L’arbitrage international et les tiers</w:t>
      </w:r>
      <w:r w:rsidRPr="00C9115E">
        <w:rPr>
          <w:rFonts w:ascii="Arial" w:hAnsi="Arial" w:cs="Arial"/>
          <w:bCs/>
          <w:sz w:val="18"/>
          <w:szCs w:val="20"/>
        </w:rPr>
        <w:t>, sous la direction de Messieurs les professeurs Lofti CHEDLY, Université de Carthage et Sylvain Bollée, Université Panthéon-Sorbonne</w:t>
      </w:r>
    </w:p>
    <w:p w14:paraId="2EB6AC68" w14:textId="52CC330C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3100E1BB" w14:textId="7ECF2CAC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>Thèse de Monsieur Nicolas Ciron,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L’assurance responsabilité civile automobile : Approche de droit international privé et de droit de l’Union européenne</w:t>
      </w:r>
      <w:r w:rsidRPr="00C9115E">
        <w:rPr>
          <w:rFonts w:ascii="Arial" w:hAnsi="Arial" w:cs="Arial"/>
          <w:bCs/>
          <w:sz w:val="18"/>
          <w:szCs w:val="20"/>
        </w:rPr>
        <w:t xml:space="preserve">, sous la direction de Monsieur le professeur Étienne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Pataut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Université Panthéon-Sorbonne</w:t>
      </w:r>
    </w:p>
    <w:p w14:paraId="09E09582" w14:textId="2EA2C8B8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07D45626" w14:textId="35FAFF67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>Thèse de Monsieur Grégory Pierre,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Le juste et le bien en droit international privé</w:t>
      </w:r>
      <w:r w:rsidRPr="00C9115E">
        <w:rPr>
          <w:rFonts w:ascii="Arial" w:hAnsi="Arial" w:cs="Arial"/>
          <w:bCs/>
          <w:sz w:val="18"/>
          <w:szCs w:val="20"/>
        </w:rPr>
        <w:t>, sous la direction de Monsieur le professeur Pierre Mayer, Université Panthéon-Sorbonne (Paris I)</w:t>
      </w:r>
    </w:p>
    <w:p w14:paraId="77F9B2F0" w14:textId="1D5861AD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415297CD" w14:textId="62A7E1F8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Mme Sabrine Maya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Bouyahia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La proximité en droit international privé de la famille français et tunisien : Actualité et perspectives (Étude des conflits de lois)</w:t>
      </w:r>
      <w:r w:rsidRPr="00C9115E">
        <w:rPr>
          <w:rFonts w:ascii="Arial" w:hAnsi="Arial" w:cs="Arial"/>
          <w:bCs/>
          <w:sz w:val="18"/>
          <w:szCs w:val="20"/>
        </w:rPr>
        <w:t xml:space="preserve">, sous la direction de Mme le professeur Marie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Goré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 xml:space="preserve">, Université Paris II (Panthéon-Assas) et M. le professeur Lofti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Chedly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Faculté des Sciences Juridiques, Politiques et Sociales de Tunis</w:t>
      </w:r>
    </w:p>
    <w:p w14:paraId="18965BA2" w14:textId="21309EEE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5B460641" w14:textId="614DD372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M.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Quiquerez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La titrisation des actifs intellectuels au prisme du droit luxembourgeois</w:t>
      </w:r>
      <w:r w:rsidRPr="00C9115E">
        <w:rPr>
          <w:rFonts w:ascii="Arial" w:hAnsi="Arial" w:cs="Arial"/>
          <w:bCs/>
          <w:sz w:val="18"/>
          <w:szCs w:val="20"/>
        </w:rPr>
        <w:t xml:space="preserve">, sous la direction de MM. N.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Binctin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 xml:space="preserve"> de l’Université de Poitiers et A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Prüm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 xml:space="preserve"> de l’Université du Luxembourg</w:t>
      </w:r>
    </w:p>
    <w:p w14:paraId="286AD27E" w14:textId="2B868717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2519EE50" w14:textId="77777777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M.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Alfadel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La loi applicable au contrat de travail international (étude comparative du Règlement Rome I et du droit international privé jordanien), sous la direction de MM. S. Bollée de l’Université Panthéon-Sorbonne (Paris I) et P. Berlioz de l’Université de Reims Champagne-Ardenne</w:t>
      </w:r>
    </w:p>
    <w:p w14:paraId="6ED831ED" w14:textId="4977265E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77003A25" w14:textId="77777777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Mme El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Sawah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Les immunités des Etats et des organisations internationales et le droit au procès équitable, sous la direction de M. Vincent Heuzé, Université Panthéon-Sorbonne (Paris I)</w:t>
      </w:r>
    </w:p>
    <w:p w14:paraId="5EC390C1" w14:textId="28676B0D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0F952AEF" w14:textId="2282A81E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Mme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Jerca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Kramberger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Skerl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L’ordre public international dans la reconnaissance et l’exécution des jugements étrangers – Etude comparative : Slovénie, France, Union européenne</w:t>
      </w:r>
      <w:r w:rsidRPr="00C9115E">
        <w:rPr>
          <w:rFonts w:ascii="Arial" w:hAnsi="Arial" w:cs="Arial"/>
          <w:bCs/>
          <w:sz w:val="18"/>
          <w:szCs w:val="20"/>
        </w:rPr>
        <w:t xml:space="preserve">, sous la codirection de Messieurs Jean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Beauchard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 xml:space="preserve">, Université de Poitiers et Janez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Kranjc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Université de Ljubljana</w:t>
      </w:r>
    </w:p>
    <w:p w14:paraId="689CDF19" w14:textId="7A104233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6527BED6" w14:textId="5CC89DD4" w:rsidR="00C9115E" w:rsidRPr="00C9115E" w:rsidRDefault="00C9115E" w:rsidP="00C9115E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 xml:space="preserve">Thèse de Mme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Caixia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 xml:space="preserve"> </w:t>
      </w:r>
      <w:proofErr w:type="gramStart"/>
      <w:r w:rsidRPr="00C9115E">
        <w:rPr>
          <w:rFonts w:ascii="Arial" w:hAnsi="Arial" w:cs="Arial"/>
          <w:bCs/>
          <w:sz w:val="18"/>
          <w:szCs w:val="20"/>
        </w:rPr>
        <w:t>Yang,  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>La</w:t>
      </w:r>
      <w:proofErr w:type="gramEnd"/>
      <w:r w:rsidRPr="00C9115E">
        <w:rPr>
          <w:rFonts w:ascii="Arial" w:hAnsi="Arial" w:cs="Arial"/>
          <w:bCs/>
          <w:i/>
          <w:iCs/>
          <w:sz w:val="18"/>
          <w:szCs w:val="20"/>
        </w:rPr>
        <w:t xml:space="preserve"> validité de la convention d’arbitrage dans le commerce international (Etude comparative)</w:t>
      </w:r>
      <w:r w:rsidRPr="00C9115E">
        <w:rPr>
          <w:rFonts w:ascii="Arial" w:hAnsi="Arial" w:cs="Arial"/>
          <w:bCs/>
          <w:sz w:val="18"/>
          <w:szCs w:val="20"/>
        </w:rPr>
        <w:t xml:space="preserve">, sous la direction de Mme Marie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Goré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Université Panthéon-Assas (Paris II)</w:t>
      </w:r>
    </w:p>
    <w:p w14:paraId="40D10224" w14:textId="3AF6B990" w:rsidR="00C9115E" w:rsidRPr="00C9115E" w:rsidRDefault="00C9115E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3EE953B1" w14:textId="2F97CE6A" w:rsidR="00C9115E" w:rsidRPr="00C9115E" w:rsidRDefault="00C9115E" w:rsidP="005E6232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C9115E">
        <w:rPr>
          <w:rFonts w:ascii="Arial" w:hAnsi="Arial" w:cs="Arial"/>
          <w:bCs/>
          <w:sz w:val="18"/>
          <w:szCs w:val="20"/>
        </w:rPr>
        <w:t>Thèse de Mme Peggy Carlier,</w:t>
      </w:r>
      <w:r w:rsidRPr="00C9115E">
        <w:rPr>
          <w:rFonts w:ascii="Arial" w:hAnsi="Arial" w:cs="Arial"/>
          <w:bCs/>
          <w:i/>
          <w:iCs/>
          <w:sz w:val="18"/>
          <w:szCs w:val="20"/>
        </w:rPr>
        <w:t xml:space="preserve"> L’utilisation de la </w:t>
      </w:r>
      <w:proofErr w:type="spellStart"/>
      <w:r w:rsidRPr="00C9115E">
        <w:rPr>
          <w:rFonts w:ascii="Arial" w:hAnsi="Arial" w:cs="Arial"/>
          <w:bCs/>
          <w:i/>
          <w:iCs/>
          <w:sz w:val="18"/>
          <w:szCs w:val="20"/>
        </w:rPr>
        <w:t>lex</w:t>
      </w:r>
      <w:proofErr w:type="spellEnd"/>
      <w:r w:rsidRPr="00C9115E">
        <w:rPr>
          <w:rFonts w:ascii="Arial" w:hAnsi="Arial" w:cs="Arial"/>
          <w:bCs/>
          <w:i/>
          <w:iCs/>
          <w:sz w:val="18"/>
          <w:szCs w:val="20"/>
        </w:rPr>
        <w:t xml:space="preserve"> </w:t>
      </w:r>
      <w:proofErr w:type="spellStart"/>
      <w:r w:rsidRPr="00C9115E">
        <w:rPr>
          <w:rFonts w:ascii="Arial" w:hAnsi="Arial" w:cs="Arial"/>
          <w:bCs/>
          <w:i/>
          <w:iCs/>
          <w:sz w:val="18"/>
          <w:szCs w:val="20"/>
        </w:rPr>
        <w:t>fori</w:t>
      </w:r>
      <w:proofErr w:type="spellEnd"/>
      <w:r w:rsidRPr="00C9115E">
        <w:rPr>
          <w:rFonts w:ascii="Arial" w:hAnsi="Arial" w:cs="Arial"/>
          <w:bCs/>
          <w:i/>
          <w:iCs/>
          <w:sz w:val="18"/>
          <w:szCs w:val="20"/>
        </w:rPr>
        <w:t xml:space="preserve"> dans la résolution des conflits de lois</w:t>
      </w:r>
      <w:r w:rsidRPr="00C9115E">
        <w:rPr>
          <w:rFonts w:ascii="Arial" w:hAnsi="Arial" w:cs="Arial"/>
          <w:bCs/>
          <w:sz w:val="18"/>
          <w:szCs w:val="20"/>
        </w:rPr>
        <w:t xml:space="preserve">, sous la direction de Mme Annie </w:t>
      </w:r>
      <w:proofErr w:type="spellStart"/>
      <w:r w:rsidRPr="00C9115E">
        <w:rPr>
          <w:rFonts w:ascii="Arial" w:hAnsi="Arial" w:cs="Arial"/>
          <w:bCs/>
          <w:sz w:val="18"/>
          <w:szCs w:val="20"/>
        </w:rPr>
        <w:t>Bottiau</w:t>
      </w:r>
      <w:proofErr w:type="spellEnd"/>
      <w:r w:rsidRPr="00C9115E">
        <w:rPr>
          <w:rFonts w:ascii="Arial" w:hAnsi="Arial" w:cs="Arial"/>
          <w:bCs/>
          <w:sz w:val="18"/>
          <w:szCs w:val="20"/>
        </w:rPr>
        <w:t>, Université Lille 2</w:t>
      </w:r>
    </w:p>
    <w:sectPr w:rsidR="00C9115E" w:rsidRPr="00C9115E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5E0A8" w14:textId="77777777" w:rsidR="00B83C54" w:rsidRDefault="00B83C54" w:rsidP="00F342F6">
      <w:r>
        <w:separator/>
      </w:r>
    </w:p>
  </w:endnote>
  <w:endnote w:type="continuationSeparator" w:id="0">
    <w:p w14:paraId="67910D63" w14:textId="77777777" w:rsidR="00B83C54" w:rsidRDefault="00B83C54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08779" w14:textId="77777777" w:rsidR="00B83C54" w:rsidRDefault="00B83C54" w:rsidP="00F342F6">
      <w:r>
        <w:separator/>
      </w:r>
    </w:p>
  </w:footnote>
  <w:footnote w:type="continuationSeparator" w:id="0">
    <w:p w14:paraId="03609D1C" w14:textId="77777777" w:rsidR="00B83C54" w:rsidRDefault="00B83C54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1CA766D2"/>
    <w:multiLevelType w:val="hybridMultilevel"/>
    <w:tmpl w:val="A986E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28BA"/>
    <w:multiLevelType w:val="hybridMultilevel"/>
    <w:tmpl w:val="3B989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30E"/>
    <w:multiLevelType w:val="hybridMultilevel"/>
    <w:tmpl w:val="4454A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3777A"/>
    <w:multiLevelType w:val="hybridMultilevel"/>
    <w:tmpl w:val="86DE5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 w15:restartNumberingAfterBreak="0">
    <w:nsid w:val="70DF6492"/>
    <w:multiLevelType w:val="hybridMultilevel"/>
    <w:tmpl w:val="1646E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0F52"/>
    <w:multiLevelType w:val="hybridMultilevel"/>
    <w:tmpl w:val="F5D48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7C2A3B"/>
    <w:rsid w:val="00812ACC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90834"/>
    <w:rsid w:val="00AB4358"/>
    <w:rsid w:val="00B111D3"/>
    <w:rsid w:val="00B61D6B"/>
    <w:rsid w:val="00B7791E"/>
    <w:rsid w:val="00B82446"/>
    <w:rsid w:val="00B83C54"/>
    <w:rsid w:val="00BE4192"/>
    <w:rsid w:val="00C9115E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727AD-5D2C-4E4A-B054-FDBD59D8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3664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2022-06-07T13:36:00Z</dcterms:created>
  <dcterms:modified xsi:type="dcterms:W3CDTF">2022-06-07T13:36:00Z</dcterms:modified>
</cp:coreProperties>
</file>