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1FB7F3CE" w:rsidR="002D7F33" w:rsidRPr="002D7F33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Carlos Miguel HERRERA</w:t>
      </w:r>
    </w:p>
    <w:bookmarkEnd w:id="0"/>
    <w:p w14:paraId="6EB3632C" w14:textId="22B7E142" w:rsidR="003A1D74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>
        <w:rPr>
          <w:rFonts w:ascii="Arial" w:hAnsi="Arial" w:cs="Arial"/>
          <w:bCs/>
          <w:color w:val="3E3B38"/>
          <w:sz w:val="28"/>
          <w:szCs w:val="36"/>
        </w:rPr>
        <w:t>Professeur des universités en droit public</w:t>
      </w:r>
    </w:p>
    <w:p w14:paraId="03496CF5" w14:textId="32E5AD86" w:rsidR="00ED671D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303EC234" w14:textId="77777777" w:rsidR="00ED671D" w:rsidRPr="002D7F33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11EB3AA8" w14:textId="77777777" w:rsidR="00ED671D" w:rsidRPr="00ED671D" w:rsidRDefault="00ED671D" w:rsidP="00ED671D">
      <w:pPr>
        <w:pStyle w:val="Paragraphedelist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ED671D">
        <w:rPr>
          <w:rFonts w:ascii="Arial" w:hAnsi="Arial" w:cs="Arial"/>
          <w:bCs/>
          <w:sz w:val="18"/>
          <w:szCs w:val="20"/>
        </w:rPr>
        <w:t>Directeur du Centre de philosophie juridique et politique (CPJP)</w:t>
      </w:r>
    </w:p>
    <w:p w14:paraId="0835FFD9" w14:textId="77777777" w:rsidR="00ED671D" w:rsidRPr="00ED671D" w:rsidRDefault="00ED671D" w:rsidP="00ED671D">
      <w:pPr>
        <w:pStyle w:val="Paragraphedelist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ED671D">
        <w:rPr>
          <w:rFonts w:ascii="Arial" w:hAnsi="Arial" w:cs="Arial"/>
          <w:bCs/>
          <w:sz w:val="18"/>
          <w:szCs w:val="20"/>
        </w:rPr>
        <w:t>Membre honoraire de l’Institut universitaire de France</w:t>
      </w:r>
    </w:p>
    <w:p w14:paraId="2E55D7BE" w14:textId="77777777" w:rsidR="00ED671D" w:rsidRDefault="00ED671D" w:rsidP="00ED671D">
      <w:pPr>
        <w:pStyle w:val="Paragraphedelist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ED671D">
        <w:rPr>
          <w:rFonts w:ascii="Arial" w:hAnsi="Arial" w:cs="Arial"/>
          <w:bCs/>
          <w:sz w:val="18"/>
          <w:szCs w:val="20"/>
        </w:rPr>
        <w:t xml:space="preserve">Professeur invité,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Universidad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Sergio de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Arboleda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(Colombie-Espagne 2018), Université d’Aix-en</w:t>
      </w:r>
    </w:p>
    <w:p w14:paraId="25D09437" w14:textId="52A2103D" w:rsidR="00CE4422" w:rsidRPr="00ED671D" w:rsidRDefault="00ED671D" w:rsidP="00ED67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134"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ED671D">
        <w:rPr>
          <w:rFonts w:ascii="Arial" w:hAnsi="Arial" w:cs="Arial"/>
          <w:bCs/>
          <w:sz w:val="18"/>
          <w:szCs w:val="20"/>
        </w:rPr>
        <w:t xml:space="preserve">Provence (université d’été 2018), Université de Lorraine (Université d'été 2016), Université Fédérale de Nord Est de Yakoutsk (Russie, 2014),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Facultad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de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Filosofía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y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Letras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,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Universidad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de Buenos Aires (2012),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Facultad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de Derecho,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Universidad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de Buenos Aires (Argentine 2009-2007),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Universidad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Internacional de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Andalucía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, Huelva (Espagne, 2007),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Universidad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ED671D">
        <w:rPr>
          <w:rFonts w:ascii="Arial" w:hAnsi="Arial" w:cs="Arial"/>
          <w:bCs/>
          <w:sz w:val="18"/>
          <w:szCs w:val="20"/>
        </w:rPr>
        <w:t>Externado</w:t>
      </w:r>
      <w:proofErr w:type="spellEnd"/>
      <w:r w:rsidRPr="00ED671D">
        <w:rPr>
          <w:rFonts w:ascii="Arial" w:hAnsi="Arial" w:cs="Arial"/>
          <w:bCs/>
          <w:sz w:val="18"/>
          <w:szCs w:val="20"/>
        </w:rPr>
        <w:t xml:space="preserve"> de Colombia, Bogotá (Colombie 2007, 2005)</w:t>
      </w:r>
    </w:p>
    <w:p w14:paraId="68E64C3B" w14:textId="77777777" w:rsid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0EBDDB31" w:rsidR="003A1D74" w:rsidRPr="00CE4422" w:rsidRDefault="00460B69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166FF2C3" w14:textId="77777777" w:rsidR="003A1D74" w:rsidRPr="003A1D74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0A823B8" w14:textId="7768F444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Directions de dossiers de revues</w:t>
      </w:r>
    </w:p>
    <w:p w14:paraId="106FDAD4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D6EF4C7" w14:textId="08F26924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Weimar. Réflexions autour d’une Constitution centenaire, Revue Française de Droit Constitutionnel, n° 125, 2021. [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en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collaboration avec A. Gaillet]</w:t>
      </w:r>
    </w:p>
    <w:p w14:paraId="56B84CD7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4B15335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Direction d’ouvrages collectifs</w:t>
      </w:r>
    </w:p>
    <w:p w14:paraId="11D1E030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B92534D" w14:textId="7777777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Postcolonialisme et droit : perspectives épistémologiques,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2020, 212 p. [en collaboration avec A. Geslin et M.-C.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Ponthoreau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].</w:t>
      </w:r>
    </w:p>
    <w:p w14:paraId="77927DD9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9F2D59C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Contribution à des ouvrages collectifs</w:t>
      </w:r>
    </w:p>
    <w:p w14:paraId="03F98B2E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75D1E75" w14:textId="7777777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Alcune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pietre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miliari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per l’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identicazione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di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corrente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filosofia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diritto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in C.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Angelis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A.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Scalone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Politeia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Liber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Amicorum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Agostino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Carrino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Rome, Mimesis, 2020, p. 319-337.</w:t>
      </w:r>
    </w:p>
    <w:p w14:paraId="6D8850F4" w14:textId="4AC46E0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Ce que le postcolonialisme ferait au constitutionnalisme. Pour une critique de la raison constitutionnelle », in A. Geslin, C. M. Herrera, M.-C.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Ponthoreau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 Postcolonialisme et droit : perspectives épistémologiques,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2020, p. 133-158.</w:t>
      </w:r>
    </w:p>
    <w:p w14:paraId="289A27C1" w14:textId="7777777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Entre néokantisme et science du droit : Hans Kelsen et le concept d’État de droit », in Ch.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Bouriau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J.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Sohne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La dimension kantienne de l’idée d’État de droit : regards croisés de juristes et de philosophes, Nancy, Presses universitaires, 2020, p. 101-121.</w:t>
      </w:r>
    </w:p>
    <w:p w14:paraId="73D484CE" w14:textId="7777777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Nihilisme juridique et démocratie », in P.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Alvazzi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Fratte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G. Ferri, F.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Cherfouh-Baïch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N. Hakim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Dialogues autour du nihilisme juridique, Rome, Historia et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Ius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2020, p. 91-97.</w:t>
      </w:r>
    </w:p>
    <w:p w14:paraId="4CAAC385" w14:textId="7777777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¿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Adiós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 las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armas?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recepción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Weimar en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pensamiento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francés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entreguerras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in J. L.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Villacañas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J.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Maiso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Laboratorio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Weimar: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crisis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primera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globalización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Euroamérica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(1918-1933), Madrid, Tecnos, 2020, p. 187-212.</w:t>
      </w:r>
    </w:p>
    <w:p w14:paraId="156AAB0F" w14:textId="7777777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Reaktion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Rezeption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proofErr w:type="gram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Aneignung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?</w:t>
      </w:r>
      <w:proofErr w:type="gram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Weimar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im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französischen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Rechtsdenken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der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Zwischenkriegszeit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», in Th.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Kleinlein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Ch.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Ohler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(dir.) Weimar international: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Kontext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und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Rezeption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der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Verfassung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von 1919, Mohr,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Siebeck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 2020, p. 177-199.</w:t>
      </w:r>
    </w:p>
    <w:p w14:paraId="4ECE5428" w14:textId="77777777" w:rsidR="00ED671D" w:rsidRPr="00ED671D" w:rsidRDefault="00ED671D" w:rsidP="00ED671D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proofErr w:type="gram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,«</w:t>
      </w:r>
      <w:proofErr w:type="gram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Constituição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Socialdemocracia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em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Weimar.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uma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periodização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»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, in G.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Bercovici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Cem Anos da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Constituição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Weimar (1919-2019), São Paulo, Quartier Latin, 2020, p. 201-218.</w:t>
      </w:r>
    </w:p>
    <w:p w14:paraId="17B95CE3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D2D21D8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Articles dans des revues scientifiques</w:t>
      </w:r>
    </w:p>
    <w:p w14:paraId="077829D9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7EA1D29" w14:textId="77777777" w:rsidR="00ED671D" w:rsidRPr="00ED671D" w:rsidRDefault="00ED671D" w:rsidP="00ED671D">
      <w:pPr>
        <w:pStyle w:val="Paragraphedeliste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José Luis Romero,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Anuario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CEH, 2020, 2, p. 1-25.</w:t>
      </w:r>
    </w:p>
    <w:p w14:paraId="5B6D71A1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0AD0F20" w14:textId="35B94E37" w:rsidR="00ED671D" w:rsidRPr="00ED671D" w:rsidRDefault="00ED671D" w:rsidP="00ED671D">
      <w:pPr>
        <w:pStyle w:val="Paragraphedeliste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lastRenderedPageBreak/>
        <w:t>« Constitution et transformation, de Weimar à nos jours », Revue Française de Droit Constitutionnel, 2021, n° 125.</w:t>
      </w:r>
    </w:p>
    <w:p w14:paraId="145F5675" w14:textId="77777777" w:rsidR="00ED671D" w:rsidRPr="00ED671D" w:rsidRDefault="00ED671D" w:rsidP="00ED671D">
      <w:pPr>
        <w:pStyle w:val="Paragraphedeliste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Les grands arrêts politiques de la jurisprudence administrative » - Table-ronde organisée à Paris, le 29 janvier 2020, Revue Française de Droit Administratif, n° 3, mai-juin 2020, p. 557-558.</w:t>
      </w:r>
    </w:p>
    <w:p w14:paraId="28849555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1BF0F84" w14:textId="5B422432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 xml:space="preserve"> Articles de presse</w:t>
      </w:r>
    </w:p>
    <w:p w14:paraId="39C2FECD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8B5D761" w14:textId="77777777" w:rsidR="00ED671D" w:rsidRPr="00ED671D" w:rsidRDefault="00ED671D" w:rsidP="00ED671D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Le Chili : pour une constitution démocratique », The Conversation, le 28 novembre 2020</w:t>
      </w:r>
    </w:p>
    <w:p w14:paraId="7E8FB7FC" w14:textId="77777777" w:rsidR="00ED671D" w:rsidRPr="00ED671D" w:rsidRDefault="00ED671D" w:rsidP="00ED671D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[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https://theconversation.com/chili-pour-une-constitution-democratique-149676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>]</w:t>
      </w:r>
    </w:p>
    <w:p w14:paraId="079DBC27" w14:textId="1946AF30" w:rsidR="00ED671D" w:rsidRDefault="00ED671D" w:rsidP="00ED671D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Chili : la demande d’une nouvelle constitution condense les demandes de protestataires », Le Monde, le 8 novembre 2019.</w:t>
      </w:r>
    </w:p>
    <w:p w14:paraId="47BB7118" w14:textId="77777777" w:rsidR="00ED671D" w:rsidRPr="00ED671D" w:rsidRDefault="00ED671D" w:rsidP="00ED67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522BB5C" w14:textId="167C68E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Préfaces et introductions</w:t>
      </w:r>
    </w:p>
    <w:p w14:paraId="3DD11606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CFB9B76" w14:textId="77777777" w:rsidR="00ED671D" w:rsidRPr="00ED671D" w:rsidRDefault="00ED671D" w:rsidP="00ED671D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Épistémologies et méthodologies [juridiques] en perspectives postcoloniales »</w:t>
      </w:r>
    </w:p>
    <w:p w14:paraId="09228D29" w14:textId="77777777" w:rsidR="00ED671D" w:rsidRPr="00ED671D" w:rsidRDefault="00ED671D" w:rsidP="00ED671D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Geslin, M.-C.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Ponthoreau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Postcolonialisme et droit : perspectives épistémologiques,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2020, p. 7-16 [en collaboration avec A. Geslin et M.-C.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Ponthoreau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].</w:t>
      </w:r>
    </w:p>
    <w:p w14:paraId="2090406A" w14:textId="77777777" w:rsidR="00ED671D" w:rsidRPr="00ED671D" w:rsidRDefault="00ED671D" w:rsidP="00ED671D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Avant-propos » à F.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Lecoutre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La controverse entre Hans Kelsen et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Eric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Voegelin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théorie du droit et en théorie politique, Paris, IFJD Louis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Joinet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LGDJ Lextenso, 2020</w:t>
      </w:r>
    </w:p>
    <w:p w14:paraId="5903F2D4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787A46F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Ouvrages</w:t>
      </w:r>
    </w:p>
    <w:p w14:paraId="79BBDBA3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6E5E797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En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vísperas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diluvio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gremialismo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ante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irrupción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peronismo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Buenos Aires, Grupo Editor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Universitario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- EUDEM, 2019, 146 p.</w:t>
      </w:r>
    </w:p>
    <w:p w14:paraId="2CF24A92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Confines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Bogotá,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Universidad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Externado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Colombia, 2017, 296 p.</w:t>
      </w:r>
    </w:p>
    <w:p w14:paraId="66239E2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¿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Adios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proletariado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?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bajo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peronismo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Buenos Aires, Imago Mundi, 2016, 290 p.</w:t>
      </w:r>
    </w:p>
    <w:p w14:paraId="7F771335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L’analyse juridique de (x). Le droit parmi les sciences sociales,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2016, en collaboration avec R. ENCINAS de MUÑAGORRI, S. HENNETTE-VAUCHEZ et O. LECLERC, 140 p.</w:t>
      </w:r>
    </w:p>
    <w:p w14:paraId="1628DEA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politica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dos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juristas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Direito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liberalismo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socialismo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em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Weimar (trad. </w:t>
      </w:r>
      <w:r w:rsidRPr="00ED671D">
        <w:rPr>
          <w:rFonts w:ascii="Arial" w:hAnsi="Arial" w:cs="Arial"/>
          <w:color w:val="3E3B38"/>
          <w:sz w:val="18"/>
          <w:szCs w:val="18"/>
        </w:rPr>
        <w:t>L. CAPLAN), São Paulo, Alameda, 2012, 194 p.</w:t>
      </w:r>
    </w:p>
    <w:p w14:paraId="38F36798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Les droits sociaux, Paris, PUF, 2009, 128 p.</w:t>
      </w:r>
    </w:p>
    <w:p w14:paraId="6CD9F667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Los derechos sociales, entre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Estado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doctrina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jurídica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(trad. M. PADRÓ), Bogotá,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Universidad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Externado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Colombia, 2008, 164 p.</w:t>
      </w:r>
    </w:p>
    <w:p w14:paraId="00CEB280" w14:textId="77777777" w:rsidR="00ED671D" w:rsidRPr="00ED671D" w:rsidRDefault="00ED671D" w:rsidP="00ED67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[Traduction espagnole de trois essais publiés et un essai inédit]</w:t>
      </w:r>
    </w:p>
    <w:p w14:paraId="14A28D54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Las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huellas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futuro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Breve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historia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Argentina, Buenos Aires,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Vanguardia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2007, 64 p.</w:t>
      </w:r>
    </w:p>
    <w:p w14:paraId="3B14852B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La philosophie du droit de Hans Kelsen, Québec, Presses de l’Université Laval, 2004, 100 p.</w:t>
      </w:r>
    </w:p>
    <w:p w14:paraId="1D4583B3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Droit et gauche. Pour une identification, Québec, Presses de l’Université Laval, 2003, 199 p.</w:t>
      </w:r>
    </w:p>
    <w:p w14:paraId="0EDA2752" w14:textId="77777777" w:rsidR="00ED671D" w:rsidRPr="00ED671D" w:rsidRDefault="00ED671D" w:rsidP="00ED67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[Recueil de neufs essais publiés et une étude inédite].</w:t>
      </w:r>
    </w:p>
    <w:p w14:paraId="62233E97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Derecho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pensamiento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jurídico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(trad. V. LOZANO et C. BERNAL PULIDO), Bogotá,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Universidad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Externado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Colombia, 2002, 261 p.</w:t>
      </w:r>
    </w:p>
    <w:p w14:paraId="7D2523D5" w14:textId="77777777" w:rsidR="00ED671D" w:rsidRPr="00ED671D" w:rsidRDefault="00ED671D" w:rsidP="00ED67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[Traduction espagnole de cinq essais publiés].</w:t>
      </w:r>
    </w:p>
    <w:p w14:paraId="14DCA1AF" w14:textId="46F05F73" w:rsid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Théorie juridique et politique chez Hans Kelsen,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1997, 331 p.</w:t>
      </w:r>
    </w:p>
    <w:p w14:paraId="0E8A8ECE" w14:textId="77777777" w:rsidR="00ED671D" w:rsidRPr="00ED671D" w:rsidRDefault="00ED671D" w:rsidP="00ED67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F33816D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360"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Chapitres dans des ouvrages collectifs</w:t>
      </w:r>
    </w:p>
    <w:p w14:paraId="25F91E0C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102781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Alcune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pietre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miliari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per l’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identicazione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di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corrente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filosofia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diritto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C.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Angelis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A.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Scalone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Politeia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Liber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Amicorum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Agostino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Carrino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Rome, Mimesis, 2020, p. 319-337.</w:t>
      </w:r>
    </w:p>
    <w:p w14:paraId="36C6F4DC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Ce que le postcolonialisme ferait au constitutionnalisme. Pour une critique de la raison constitutionnelle », A. Geslin, C. M. Herrera, M.-C.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Ponthoreau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 Postcolonialisme et droit : perspectives épistémologiques,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2020, p. 133-158.</w:t>
      </w:r>
    </w:p>
    <w:p w14:paraId="09AC6D39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lastRenderedPageBreak/>
        <w:t xml:space="preserve">« Entre néokantisme et science du droit : Hans Kelsen et le concept d’État de droit », Ch.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Bouriau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J.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Sohne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La dimension kantienne de l’idée d’État de droit : regards croisés de juristes et de philosophes, Nancy, Presses universitaires, 2020, p. 101-121. </w:t>
      </w:r>
    </w:p>
    <w:p w14:paraId="36E6DA4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Nihilisme juridique et démocratie », P.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Alvazzi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Fratte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G. Ferri, F.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Cherfouh-Baïch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N. Hakim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Dialogues autour du nihilisme juridique, Rome, Historia et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Ius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2020, p. 91-97.</w:t>
      </w:r>
    </w:p>
    <w:p w14:paraId="514FD271" w14:textId="7156B05A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¿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Adiós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 las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armas?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recepción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Weimar en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pensamiento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francés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entreguerras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J. L.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Villacañas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J.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Maiso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Laboratorio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Weimar: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crisis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primera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globalización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Euroamérica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(1918-1933), Madrid, Tecnos, 2020, p. 187-212.</w:t>
      </w:r>
    </w:p>
    <w:p w14:paraId="7E49294A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Reaktion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Rezeption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proofErr w:type="gram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Aneignung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?</w:t>
      </w:r>
      <w:proofErr w:type="gram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Weimar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im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französischen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Rechtsdenken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der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Zwischenkriegszeit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», Th.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Kleinlein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Ch.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Ohler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(dir.) Weimar international: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Kontext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und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Rezeption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der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Verfassung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von 1919, Mohr,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Siebeck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 2020, p. 177-199.</w:t>
      </w:r>
    </w:p>
    <w:p w14:paraId="57C1FFD5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>“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Constituição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Socialdemocracia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em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Weimar.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uma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periodização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”, G.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Bercovici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Cem Anos da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Constituição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Weimar (1919-2019), São Paulo, Quartier Latin, 2020, p. 201-218.</w:t>
      </w:r>
    </w:p>
    <w:p w14:paraId="4880634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Entre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filosofía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derecho y </w:t>
      </w:r>
      <w:proofErr w:type="spellStart"/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socialismo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concepto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derecho social en Gustav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Radbruch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J. L. Guzmán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Dálbora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P. König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Gustav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Radbruch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: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penalista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filósofo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humanista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Santiago de Chile,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Olejnik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2019, p. 67-82.</w:t>
      </w:r>
    </w:p>
    <w:p w14:paraId="006D468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weimariano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pensamiento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jurídico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francés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entreguerras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Historia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n° 20, 2019, p. 449-468.</w:t>
      </w:r>
    </w:p>
    <w:p w14:paraId="7B386C0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Problemi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di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legittimità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giustizia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costituzionale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tardiva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in G.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Acocella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Materiali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per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cultura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legalità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Turin,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Giappichelli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2019, p. 119-132.</w:t>
      </w:r>
    </w:p>
    <w:p w14:paraId="3E965750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Avons-nous jamais été </w:t>
      </w:r>
      <w:proofErr w:type="spellStart"/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kelséniens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?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», T.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Hochmann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X.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Magnon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R. Ponsard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Un classique méconnu: Hans Kelsen, Reims, Mare &amp; Martin, 2018, p. 57-78.</w:t>
      </w:r>
    </w:p>
    <w:p w14:paraId="28A0719B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Populismo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derechos », J. L.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Villacañas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Berlanga, C. Ruiz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Sanjuan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Populismo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versus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republicanismo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Genealogía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historia,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crítica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Madrid,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Biblioteca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Nueva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2018, p. 295-311.</w:t>
      </w:r>
    </w:p>
    <w:p w14:paraId="2E32FD1C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La théorie du droit international de Hans Kelsen et ses évolutions », N.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Grangé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F. Ramel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Le droit international selon Hans Kelsen. Criminalités, responsabilités, normativités, Lyon, Editons de l’ENS, 2018, p. 13-34.</w:t>
      </w:r>
    </w:p>
    <w:p w14:paraId="7524DEA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fictionnalisme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dans la théorie du droit : Hans Vaihinger et Hans Kelsen », Ch.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Bouriau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G.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Schuppert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Perspectives philosophiques sur les fictions,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2018, p. 71-77.</w:t>
      </w:r>
    </w:p>
    <w:p w14:paraId="227FAC4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Prensa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cuestión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 en la Argentina radical.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caso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Acción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J.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Suriano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R. González Leandri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Cuestión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 y sus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itinerarios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difusión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través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publicaciones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periódicas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argentinas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1870-1930, Global South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Press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Rockville, 2017, p. 247-270.</w:t>
      </w:r>
    </w:p>
    <w:p w14:paraId="1701DFD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La décentralisation territoriale sous le prisme constitutionnel : un processus historique et ses concepts théoriques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Proceeding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of the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Korean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Comparative Public Law Association, 2017, p. 27-40.</w:t>
      </w:r>
    </w:p>
    <w:p w14:paraId="3DF4003C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ciudad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visitada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Los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emisarios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progreso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la Buenos Aires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Centenario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J. L. VILLACAÑAS, P. LOMBA FALCÓN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Ciudad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iberoamericana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representación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Madrid,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Escolar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Mayo, 2017, p. 217-238.</w:t>
      </w:r>
    </w:p>
    <w:p w14:paraId="54B9D72F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La reconnaissance par les droits (en partant des droits sociaux) », E. TOURME-JOUANNET, H. MUIR WATT, O. DE FROUVILLE, J. MATRINGE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Droit international et reconnaissance, Paris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Pedone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2016, p. 175-185.</w:t>
      </w:r>
    </w:p>
    <w:p w14:paraId="78811AA9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Seguridad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jurídica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efectividad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los derechos sociales », GONZÁLEZ PALACIOS, T. RENSMANN, L. ZEVENOU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Estrategias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consolidación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instituciones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públicas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/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Strategien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Konsolidierung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öffentlicher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Institutionen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/Stratégies de consolidation des institutions publiques, Lima,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Fondo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Editorial CAEN, 2016, p. 121-131.</w:t>
      </w:r>
    </w:p>
    <w:p w14:paraId="0BE8B784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En los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orígenes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 </w:t>
      </w:r>
      <w:proofErr w:type="spellStart"/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argentino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Discursos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torno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1949 », GONZÁLEZ LEANDRI, P. GONZÁLEZ BERNALDO DE QUIRÓS, A. GALERA GÓMEZ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Regulación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regímenes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bienestar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América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Latina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siglos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XIX-XX), Madrid,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Polifemo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2015, p. 307-341.Repris dans: Historia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(Madrid), n° 15, 2014, p. 391-414 (http://www.historiaconstitucional.com/index.php/historiaconstitucional/article/view/407/366).</w:t>
      </w:r>
    </w:p>
    <w:p w14:paraId="79D4E8A4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«Constitutionalisme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social et populisme constitutionnel », M. HERRERA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Le constitutionnalisme latino-américain aujourd’hui : entre renouveau juridique et essor démocratique ?,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2015, p. 83-114.</w:t>
      </w:r>
    </w:p>
    <w:p w14:paraId="77EDC36D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L’argument politique chez Maurice Hauriou », Alonso, Ch. DURANTHON, J. SCHMITZ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La pensée du doyen Hauriou à l’épreuve du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temps: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quel(s) héritage(s)?, Marseille, PUAM, 2015, p. 83-97.</w:t>
      </w:r>
    </w:p>
    <w:p w14:paraId="776F238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lastRenderedPageBreak/>
        <w:t xml:space="preserve">«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asociacionismo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tiempos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peronismo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caso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cooperativismo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(1946-1955) », ACHA, N. QUIROGA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asociacionismo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la Argentina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siglo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XX, Buenos Aires: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Prometeo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2015, p. 221-245.</w:t>
      </w:r>
    </w:p>
    <w:p w14:paraId="7DB2164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« Léon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Duguit’s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Legal Theory », PATTARO (dir.), A Treatise of Legal Philosophy and General Jurisprudence, t. 12, Springer, 2015, p. 422-428.</w:t>
      </w:r>
    </w:p>
    <w:p w14:paraId="340CA85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Apoyando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al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peronismo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desde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izquierda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: Argentina de Hoy », PANELLA, A. KORN (dir.), Ideas y debates para la Nueva Argentina.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Revistas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culturales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políticas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peronismo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(1946-1955), tome II,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Plata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Universidad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Nacional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Plata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EPC, 2014, p. 117-146.</w:t>
      </w:r>
    </w:p>
    <w:p w14:paraId="64A2B44C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político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científico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social: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las visitas de Jean Jaurès y Léon Duguit », P. BRUNO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Visitas culturales en Argentina (1898- 1936), Buenos Aires,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Biblios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2014, pp. 97-122.</w:t>
      </w:r>
    </w:p>
    <w:p w14:paraId="50EBA545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Kelsen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als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Demokrat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und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Freiheitsdenker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», ALIPRANTIS, Th. OLECHOWSKI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Hgs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). Hans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Kelsen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: Die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Aktualität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eines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großen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Rechtswissenschaftlers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und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Soziologen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des 20.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Jahrhunderts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Vienne,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Manz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 2014, p. 95-107.</w:t>
      </w:r>
    </w:p>
    <w:p w14:paraId="7B3023DA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Traduction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grecque :</w:t>
      </w:r>
      <w:proofErr w:type="gram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Hans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Kelsen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Athènes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 2013, pp. 133-151.</w:t>
      </w:r>
    </w:p>
    <w:p w14:paraId="00DC4F98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Los derechos sociales y los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fundamentos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democrático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Garrido GÓMEZ, J. ESPINOSA DE LOS MONTEROS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Paradigmas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fundamentos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democrático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Granada,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Comares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2014, p. 91-110.</w:t>
      </w:r>
    </w:p>
    <w:p w14:paraId="1EE6353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L’autorité de la justice constitutionnelle », CAGIAO Y CONDE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La notion d’autorité en droit, Paris, Editions Le Manuscrit, 2014, pp. 17-40.</w:t>
      </w:r>
    </w:p>
    <w:p w14:paraId="00934A69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</w:rPr>
        <w:t>Traduction portugaise : J. FONTOURA COSTA, J. M. ARRUDA DE ANDRADE, A. HANSEN MATSUO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Direito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: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teoria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experiência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Estudos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em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homenagen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</w:t>
      </w:r>
      <w:proofErr w:type="gram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Eros Roberto Grau, São Paulo: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Malheiros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 tome 2, 2013, p. 827-843.</w:t>
      </w:r>
    </w:p>
    <w:p w14:paraId="2D9A4033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Georges Scelle et Hans Kelsen : la construction d’une doctrine internationaliste, entre science et politique », APOSTOLIDIS, H. THOUARD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 Actualité de Georges Scelle, Dijon, Editions universitaires, 2013, p. 35-45.</w:t>
      </w:r>
    </w:p>
    <w:p w14:paraId="119DC082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L’étranger dans la maison ? », HERRERA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Rousseau chez les juristes. Histoire d’une référence philosophico-politique dans la pensée juridique,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2013, p. 8-27.</w:t>
      </w:r>
    </w:p>
    <w:p w14:paraId="6BEEE5A2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Hans Kelsen et Carl Schmitt, à travers Rousseau », HERRERA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Rousseau chez les juristes. Histoire d’une référence philosophico-politique dans la pensée juridique,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2013, p. 61-82.</w:t>
      </w:r>
    </w:p>
    <w:p w14:paraId="46EC70B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Version anglaise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résumée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: « Hans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Kelsen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and Carl Schmitt on Rousseau. Democracy in Dark Times Discussed », in SOARES DE MOURA COSTA MATOS, C. M. HERRERA et R. BUENO PINTO (dir.) Democracy, Justice and Exception. The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Kelsen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-Schmitt debate reloaded in the XXI Century, Belo Horizonte,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Initia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Via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Editora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 2015.</w:t>
      </w:r>
    </w:p>
    <w:p w14:paraId="77ACCF8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Variation, évolution, métamorphose : les significations du concept de constitutionnalisme », B. POUDERON, J. CASAS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Variation, évolution, métamorphose, Saint Etienne, Presses Universitaires, 2012, p. 359-370.</w:t>
      </w:r>
    </w:p>
    <w:p w14:paraId="3BA17C74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La justiciabilité des droits sociaux : concepts juridiques et évolution jurisprudentielle », ROMAN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La justiciabilité des droits sociaux : vecteurs et résistances,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Pedone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2012, p. 103-117.</w:t>
      </w:r>
    </w:p>
    <w:p w14:paraId="3D3039E5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Le concept de droits sociaux dans la mondialisation », -Y. CHEROT, B. FRYDMAN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La science du droit dans la globalisation, Bruxelles, Bruylant, 2012, p. 166-181.</w:t>
      </w:r>
    </w:p>
    <w:p w14:paraId="7E29D22A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Démocratie, pouvoir judiciaire, droits sociaux », C. M. HERRERA, S. PINON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La démocratie, entre multiplication des droits et contre-pouvoirs sociaux,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2012, p. 61-78.</w:t>
      </w:r>
    </w:p>
    <w:p w14:paraId="25709C8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Droit international et culture de gauche dans le Jus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Publicum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Europaeum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Jouannet, I.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Motoc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Les doctrines internationalistes durant les années du communisme réel en Europe –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Internationalist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Doctrines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during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the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Years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of Real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Communism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in Europe, Paris, Société de législation comparée, 2012, p. 121-142.</w:t>
      </w:r>
    </w:p>
    <w:p w14:paraId="6C30D574" w14:textId="44A58BCF" w:rsid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Los derechos sociales en Francia », Escobar ROCA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Derechos sociales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tutela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antidiscriminatoria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Pamplona,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Aranzadi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2012, p. 138-167.</w:t>
      </w:r>
    </w:p>
    <w:p w14:paraId="1DF154E6" w14:textId="77777777" w:rsidR="00E72A9B" w:rsidRPr="00ED671D" w:rsidRDefault="00E72A9B" w:rsidP="00E72A9B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879C61E" w14:textId="77777777" w:rsidR="00ED671D" w:rsidRPr="00E72A9B" w:rsidRDefault="00ED671D" w:rsidP="00E72A9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  <w:lang w:val="en-US"/>
        </w:rPr>
      </w:pPr>
      <w:r w:rsidRPr="00E72A9B">
        <w:rPr>
          <w:rFonts w:ascii="Arial" w:hAnsi="Arial" w:cs="Arial"/>
          <w:b/>
          <w:color w:val="3E3B38"/>
          <w:sz w:val="18"/>
          <w:szCs w:val="18"/>
          <w:lang w:val="en-US"/>
        </w:rPr>
        <w:t xml:space="preserve">Articles </w:t>
      </w:r>
    </w:p>
    <w:p w14:paraId="62B233DB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</w:p>
    <w:p w14:paraId="697C32EB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« Weimar: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the</w:t>
      </w:r>
      <w:proofErr w:type="gram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South American Way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Rechtsgeschichte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– Legal History,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Rg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27, 2019, p. 182-194.</w:t>
      </w:r>
    </w:p>
    <w:p w14:paraId="5CBA63D2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costruzione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dottrina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lavoralista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in Francia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prima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metà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secolo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XX.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Sindacato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stato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corporazione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Quaderni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Fiorentini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per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storia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del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pensiero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giuridico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moderno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, 2019, p. 69-87.</w:t>
      </w:r>
    </w:p>
    <w:p w14:paraId="7594523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Kelsen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on Democracy: A Theory and its Time », Courier of the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Kutafin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Moscow State Law University, n° 4 (56), 2019,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russe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, résumé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en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anglais</w:t>
      </w:r>
      <w:proofErr w:type="spellEnd"/>
      <w:r w:rsidRPr="00ED671D">
        <w:rPr>
          <w:rFonts w:ascii="Arial" w:hAnsi="Arial" w:cs="Arial"/>
          <w:color w:val="3E3B38"/>
          <w:sz w:val="18"/>
          <w:szCs w:val="18"/>
          <w:lang w:val="en-US"/>
        </w:rPr>
        <w:t>), p. 41-54.</w:t>
      </w:r>
    </w:p>
    <w:p w14:paraId="56221903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lastRenderedPageBreak/>
        <w:t xml:space="preserve">«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ricezione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costituzionalismo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weimariano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Francia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della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Terza Repubblica », Il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pensiero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politico, 2019, p. 253-272</w:t>
      </w:r>
    </w:p>
    <w:p w14:paraId="752661A0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Sobre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significación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histórica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mexicana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1917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Anuario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Derecho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comparado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VII, 2019, p. 205-224.</w:t>
      </w:r>
    </w:p>
    <w:p w14:paraId="5C7C39A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Qu’est-ce que l’analyse juridique de (x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)?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Pour une explicitation », Droit et société, n° 103, 2019/3, p. 609-628 [en collaboration avec R.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Encinas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Muñagorri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et Olivier Leclerc].</w:t>
      </w:r>
    </w:p>
    <w:p w14:paraId="24BC7F55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"Depuis le Sud : la Révolution Russe et l’Amérique latine », Passés futurs, n° 5, 2019, https://www.politika.io/fr/notice/sud-revolution-russe-lamerique-latine [mise en ligne le 18 juin 2019] [en collaboration avec O. Acha].</w:t>
      </w:r>
    </w:p>
    <w:p w14:paraId="6E6D942D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Le populisme constitutionnel », Annuaire International de Justice Constitutionnelle, XXXIV, 2019, p. 699-711.</w:t>
      </w:r>
    </w:p>
    <w:p w14:paraId="7CDA7A4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frustrado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accionar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de un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nacional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la Argentina (1916-1922)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Archivos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historia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movimiento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obrero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izquierda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n° 13, 2018, p. 121-141.</w:t>
      </w:r>
    </w:p>
    <w:p w14:paraId="6492FB32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De l’Etat à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l’étatisation?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Penser le droit public avec Michel Foucault », Revue Interdisciplinaires d’Etudes Juridiques, n° 79, 2017, p. 39-54.</w:t>
      </w:r>
    </w:p>
    <w:p w14:paraId="75BB868D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Georges Ripert en politique », Droits. Revue Française de théorie, de philosophie et de culture juridiques, n° 65, 2017/1, p. 181-199.</w:t>
      </w:r>
    </w:p>
    <w:p w14:paraId="3625C3D0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Guerre et paix dans l’émergence d’une théorie du droit international après 1918. Kelsen et le courant pacifiste », Ethique, politique, religions, n° 9, 2016-2, p. 29-49.</w:t>
      </w:r>
    </w:p>
    <w:p w14:paraId="61D5CE50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Culture juridique et politique », International Journal for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Semiotics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of Law – Revue Internationale de Sémiotique Juridique, vol. 29/4, 2016, p. 721-727.</w:t>
      </w:r>
    </w:p>
    <w:p w14:paraId="6258C567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Ce que ‘critique’ veut dire (en théorie du droit). Beaucoup moins qu’un manifeste, pas vraiment une cartographie », Revue critique, n° 7, 2016, p. 75-87.</w:t>
      </w:r>
    </w:p>
    <w:p w14:paraId="0299E14E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Droits sociaux et politique chez Georges Gurvitch », Droit et société, n° 94, 2016, p. 513-524.</w:t>
      </w:r>
    </w:p>
    <w:p w14:paraId="64651B7D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Jean Jaurès et le droit international », Cahiers Jaurès, juin 2015, n° 215-216, p. 105-117.</w:t>
      </w:r>
    </w:p>
    <w:p w14:paraId="15DC866C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  <w:lang w:val="en-US"/>
        </w:rPr>
        <w:t xml:space="preserve">« Comparative Law and Social Sciences.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Some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Remarks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on Edouard Lambert », Revue de l’Académie Juridique de Moscou, V, avril-mai 2015 (en russe), p. 13-20.</w:t>
      </w:r>
    </w:p>
    <w:p w14:paraId="481D98F4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ante Enrico Ferri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Archivos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historia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movimiento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obrero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izquierda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n° 6, mars 2015, p. 73-93.</w:t>
      </w:r>
    </w:p>
    <w:p w14:paraId="32819990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renovación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doctrina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civilista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argentina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sus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límites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caso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Alfredo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Colmo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Revista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Facultad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Derecho de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Universidad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Andina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Cuzco, I, n° 2, 2014, p. 11-26.</w:t>
      </w:r>
    </w:p>
    <w:p w14:paraId="30ED09BF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Léon Duguit en Buenos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Aires: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sociabilidad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política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en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recepción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teoría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jurídica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Anuario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Filosofía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Teoría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Derecho, México, n° 8, 2014, p. 139-169.</w:t>
      </w:r>
    </w:p>
    <w:p w14:paraId="109BB57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intelectual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Dardo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Cúneo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experiencia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Acción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Archivos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historia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movimiento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obrero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de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izquierda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Buenos Aires, n° 3, 2013.</w:t>
      </w:r>
    </w:p>
    <w:p w14:paraId="408D37E0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solidaridad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y sus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problemas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político-constitucionales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Revista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Estudios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Sociales, Bogotá, n° 46, mayo-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agosto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2013, pp. 63-73.</w:t>
      </w:r>
    </w:p>
    <w:p w14:paraId="04A5553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Concepts juridiques et contraintes de l’argumentation », Revue Française de théorie, de philosophie et de culture juridiques, n° 55, 2012, pp. 3-22.</w:t>
      </w:r>
    </w:p>
    <w:p w14:paraId="55C29B02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Algumas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considerações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sobre 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noção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contrapoderes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sociais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Revista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Brasileira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Estudos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Políticos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- RBEP, vol. 105, 2012, pp. 79-99.</w:t>
      </w:r>
    </w:p>
    <w:p w14:paraId="25C183E1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française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: « Entre droit constitutionnel et démocratie : les contre-pouvoirs sociaux », A. Viala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La démocratie, mais qu’en disent les juristes, Paris : LGDJ, 2014, pp. 171-184</w:t>
      </w:r>
    </w:p>
    <w:p w14:paraId="0BED14A6" w14:textId="77777777" w:rsidR="00ED671D" w:rsidRP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nacimiento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latinoamericano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(1917-1949)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Revista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la Academia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Colombiana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Jurisprudencia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n° 350, 2012, p. 169-185 portugaise : « O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nascimento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do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constitucionalismo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social latino-americano (1917-1949).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Uma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perspectiva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comparada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Revista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do Instituto de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Hermenêutica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Jurídica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n° 11, janvier/juin 2012, pp. 87-103.</w:t>
      </w:r>
    </w:p>
    <w:p w14:paraId="213DE9D7" w14:textId="0D894E91" w:rsidR="00ED671D" w:rsidRDefault="00ED671D" w:rsidP="00ED671D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Entre équité et socialisme : le juge et la question sociale dans le débat politico-doctrinal français du début du XXe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siècle»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Quaderni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Fiorentini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per la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storia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pensiero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giuridico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moderno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n° 40, t. I, 2011, p. 331-395.</w:t>
      </w:r>
    </w:p>
    <w:p w14:paraId="6797D5C2" w14:textId="77777777" w:rsidR="00ED671D" w:rsidRPr="00ED671D" w:rsidRDefault="00ED671D" w:rsidP="00ED67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F40A629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Autres publications</w:t>
      </w:r>
    </w:p>
    <w:p w14:paraId="4E33508E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1A63360" w14:textId="77777777" w:rsidR="00ED671D" w:rsidRPr="00ED671D" w:rsidRDefault="00ED671D" w:rsidP="00ED671D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lastRenderedPageBreak/>
        <w:t>« Fonctions sociales de l’Etat », MBONGO, P. HERVOUËT, C. SANTULLI,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.), Dictionnaire encyclopédique de l’État, Paris, Berger-Levrault, 2014, p. 452-456.</w:t>
      </w:r>
    </w:p>
    <w:p w14:paraId="000DB0E9" w14:textId="77777777" w:rsidR="00ED671D" w:rsidRPr="00ED671D" w:rsidRDefault="00ED671D" w:rsidP="00ED671D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Le constitutionnalisme latino-américain aujourd’hui », Le constitutionnalisme latino-américain aujourd’hui : entre renouveau juridique et essor démocratique ?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2015, p. 9-18.</w:t>
      </w:r>
    </w:p>
    <w:p w14:paraId="2848959D" w14:textId="77777777" w:rsidR="00ED671D" w:rsidRPr="00ED671D" w:rsidRDefault="00ED671D" w:rsidP="00ED671D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>« Faire l’histoire constitutionnelle : questions et problèmes », C. M. HERRERA, A. LE PILLOUER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Comment écrit-on l’histoire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constitutionnelle ?,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2012, p. 7-17 [en collaboration avec A. Le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Pillouer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].</w:t>
      </w:r>
    </w:p>
    <w:p w14:paraId="03A08002" w14:textId="77777777" w:rsidR="00ED671D" w:rsidRPr="00ED671D" w:rsidRDefault="00ED671D" w:rsidP="00ED671D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Méthode juridique et politique : Sur Raymond Saleilles », R. SALEILLES, Y a-t-il vraiment une crise de la science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politique ?,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Paris, Dalloz, 2012, p. 1-37.</w:t>
      </w:r>
    </w:p>
    <w:p w14:paraId="11A3A62E" w14:textId="77777777" w:rsid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F5B70EB" w14:textId="706C9BD8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D671D">
        <w:rPr>
          <w:rFonts w:ascii="Arial" w:hAnsi="Arial" w:cs="Arial"/>
          <w:b/>
          <w:color w:val="3E3B38"/>
          <w:sz w:val="18"/>
          <w:szCs w:val="18"/>
        </w:rPr>
        <w:t>Préfaces et introductions</w:t>
      </w:r>
    </w:p>
    <w:p w14:paraId="3207B6F2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D023801" w14:textId="72A65016" w:rsidR="00ED671D" w:rsidRPr="00ED671D" w:rsidRDefault="00ED671D" w:rsidP="00ED671D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Épistémologies et méthodologies [juridiques] en perspectives postcoloniales », in A. Geslin, C. M. Herrera, M.-C.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Ponthoreau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Postcolonialisme et droit : perspectives épistémologiques, Paris,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2020, p. 7-16 [en collaboration avec A. Geslin et M.-C.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Ponthoreau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].</w:t>
      </w:r>
    </w:p>
    <w:p w14:paraId="62F145E0" w14:textId="77777777" w:rsidR="00ED671D" w:rsidRPr="00ED671D" w:rsidRDefault="00ED671D" w:rsidP="00ED671D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Prólogo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à S.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Ferreyra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F.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Martocci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El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(re)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configurado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Santa </w:t>
      </w:r>
      <w:proofErr w:type="gramStart"/>
      <w:r w:rsidRPr="00ED671D">
        <w:rPr>
          <w:rFonts w:ascii="Arial" w:hAnsi="Arial" w:cs="Arial"/>
          <w:color w:val="3E3B38"/>
          <w:sz w:val="18"/>
          <w:szCs w:val="18"/>
        </w:rPr>
        <w:t>Rosa:</w:t>
      </w:r>
      <w:proofErr w:type="gram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EdUNLPam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Buenos Aires,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Teseo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2019, p. 15-23 [en collaboration avec H. Camarero]</w:t>
      </w:r>
    </w:p>
    <w:p w14:paraId="2A67ADD1" w14:textId="77777777" w:rsidR="00ED671D" w:rsidRPr="00ED671D" w:rsidRDefault="00ED671D" w:rsidP="00ED671D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D671D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Prólogo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», à A. E.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Farias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de Oliveira, J.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Bheron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Rocha, M.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Pittari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M. Casas Maia (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Teoria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geral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da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Defensoria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Pública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, Belo Horizonte, 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Editora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 xml:space="preserve"> D’</w:t>
      </w:r>
      <w:proofErr w:type="spellStart"/>
      <w:r w:rsidRPr="00ED671D">
        <w:rPr>
          <w:rFonts w:ascii="Arial" w:hAnsi="Arial" w:cs="Arial"/>
          <w:color w:val="3E3B38"/>
          <w:sz w:val="18"/>
          <w:szCs w:val="18"/>
        </w:rPr>
        <w:t>Plácido</w:t>
      </w:r>
      <w:proofErr w:type="spellEnd"/>
      <w:r w:rsidRPr="00ED671D">
        <w:rPr>
          <w:rFonts w:ascii="Arial" w:hAnsi="Arial" w:cs="Arial"/>
          <w:color w:val="3E3B38"/>
          <w:sz w:val="18"/>
          <w:szCs w:val="18"/>
        </w:rPr>
        <w:t>, 2019, p. 11-17.</w:t>
      </w:r>
    </w:p>
    <w:p w14:paraId="6683F15B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1D14F10" w14:textId="2449919C" w:rsidR="00ED671D" w:rsidRPr="00E72A9B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72A9B">
        <w:rPr>
          <w:rFonts w:ascii="Arial" w:hAnsi="Arial" w:cs="Arial"/>
          <w:b/>
          <w:color w:val="3E3B38"/>
          <w:sz w:val="18"/>
          <w:szCs w:val="18"/>
        </w:rPr>
        <w:t xml:space="preserve"> Direction d'ouvrages</w:t>
      </w:r>
    </w:p>
    <w:p w14:paraId="15D2E9E3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7637178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Le constitutionnalisme latino-américain aujourd’hui : entre renouveau juridique et essor </w:t>
      </w:r>
      <w:proofErr w:type="gramStart"/>
      <w:r w:rsidRPr="00E72A9B">
        <w:rPr>
          <w:rFonts w:ascii="Arial" w:hAnsi="Arial" w:cs="Arial"/>
          <w:color w:val="3E3B38"/>
          <w:sz w:val="18"/>
          <w:szCs w:val="18"/>
        </w:rPr>
        <w:t>démocratique ?,</w:t>
      </w:r>
      <w:proofErr w:type="gramEnd"/>
      <w:r w:rsidRPr="00E72A9B">
        <w:rPr>
          <w:rFonts w:ascii="Arial" w:hAnsi="Arial" w:cs="Arial"/>
          <w:color w:val="3E3B38"/>
          <w:sz w:val="18"/>
          <w:szCs w:val="18"/>
        </w:rPr>
        <w:t xml:space="preserve">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2015, 140 p.</w:t>
      </w:r>
    </w:p>
    <w:p w14:paraId="1D04F7CA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E72A9B">
        <w:rPr>
          <w:rFonts w:ascii="Arial" w:hAnsi="Arial" w:cs="Arial"/>
          <w:color w:val="3E3B38"/>
          <w:sz w:val="18"/>
          <w:szCs w:val="18"/>
          <w:lang w:val="en-US"/>
        </w:rPr>
        <w:t xml:space="preserve">Democracy, Justice and Exception. The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  <w:lang w:val="en-US"/>
        </w:rPr>
        <w:t>Kelsen</w:t>
      </w:r>
      <w:proofErr w:type="spellEnd"/>
      <w:r w:rsidRPr="00E72A9B">
        <w:rPr>
          <w:rFonts w:ascii="Arial" w:hAnsi="Arial" w:cs="Arial"/>
          <w:color w:val="3E3B38"/>
          <w:sz w:val="18"/>
          <w:szCs w:val="18"/>
          <w:lang w:val="en-US"/>
        </w:rPr>
        <w:t xml:space="preserve">-Schmitt debate reloaded in the XXI Century, Belo Horizonte,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  <w:lang w:val="en-US"/>
        </w:rPr>
        <w:t>Initia</w:t>
      </w:r>
      <w:proofErr w:type="spellEnd"/>
      <w:r w:rsidRPr="00E72A9B">
        <w:rPr>
          <w:rFonts w:ascii="Arial" w:hAnsi="Arial" w:cs="Arial"/>
          <w:color w:val="3E3B38"/>
          <w:sz w:val="18"/>
          <w:szCs w:val="18"/>
          <w:lang w:val="en-US"/>
        </w:rPr>
        <w:t xml:space="preserve"> Via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  <w:lang w:val="en-US"/>
        </w:rPr>
        <w:t>Editora</w:t>
      </w:r>
      <w:proofErr w:type="spellEnd"/>
      <w:r w:rsidRPr="00E72A9B">
        <w:rPr>
          <w:rFonts w:ascii="Arial" w:hAnsi="Arial" w:cs="Arial"/>
          <w:color w:val="3E3B38"/>
          <w:sz w:val="18"/>
          <w:szCs w:val="18"/>
          <w:lang w:val="en-US"/>
        </w:rPr>
        <w:t>, 2015, 104 p. [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  <w:lang w:val="en-US"/>
        </w:rPr>
        <w:t>en</w:t>
      </w:r>
      <w:proofErr w:type="spellEnd"/>
      <w:r w:rsidRPr="00E72A9B">
        <w:rPr>
          <w:rFonts w:ascii="Arial" w:hAnsi="Arial" w:cs="Arial"/>
          <w:color w:val="3E3B38"/>
          <w:sz w:val="18"/>
          <w:szCs w:val="18"/>
          <w:lang w:val="en-US"/>
        </w:rPr>
        <w:t xml:space="preserve"> collaboration avec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  <w:lang w:val="en-US"/>
        </w:rPr>
        <w:t>Andityas</w:t>
      </w:r>
      <w:proofErr w:type="spellEnd"/>
      <w:r w:rsidRPr="00E72A9B">
        <w:rPr>
          <w:rFonts w:ascii="Arial" w:hAnsi="Arial" w:cs="Arial"/>
          <w:color w:val="3E3B38"/>
          <w:sz w:val="18"/>
          <w:szCs w:val="18"/>
          <w:lang w:val="en-US"/>
        </w:rPr>
        <w:t xml:space="preserve"> Soares de Moura Costa Matos et Roberto Bueno Pinto]</w:t>
      </w:r>
    </w:p>
    <w:p w14:paraId="62A2C923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Rousseau chez les juristes. Histoire d’une référence philosophico-politique dans la pensée juridique,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2013, 194 p.</w:t>
      </w:r>
    </w:p>
    <w:p w14:paraId="1A0B2BDE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Comment écrit-on l’histoire </w:t>
      </w:r>
      <w:proofErr w:type="gramStart"/>
      <w:r w:rsidRPr="00E72A9B">
        <w:rPr>
          <w:rFonts w:ascii="Arial" w:hAnsi="Arial" w:cs="Arial"/>
          <w:color w:val="3E3B38"/>
          <w:sz w:val="18"/>
          <w:szCs w:val="18"/>
        </w:rPr>
        <w:t>constitutionnelle ?,</w:t>
      </w:r>
      <w:proofErr w:type="gramEnd"/>
      <w:r w:rsidRPr="00E72A9B">
        <w:rPr>
          <w:rFonts w:ascii="Arial" w:hAnsi="Arial" w:cs="Arial"/>
          <w:color w:val="3E3B38"/>
          <w:sz w:val="18"/>
          <w:szCs w:val="18"/>
        </w:rPr>
        <w:t xml:space="preserve">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, 2012, 200 p. [en collaboration avec A. Le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Pillouer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].</w:t>
      </w:r>
    </w:p>
    <w:p w14:paraId="399EA98F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La démocratie, entre multiplication des droits et contre-pouvoirs sociaux,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2012, 168 p. [en collaboration avec S. Pinon].</w:t>
      </w:r>
    </w:p>
    <w:p w14:paraId="16DB987C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La Constitution de Weimar et la pensée juridique française.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2011, 204 p.</w:t>
      </w:r>
    </w:p>
    <w:p w14:paraId="0175961B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Georges Sorel et le droit,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2005, 168 p.</w:t>
      </w:r>
    </w:p>
    <w:p w14:paraId="170C411C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>Les juristes face au politique : le droit, la gauche, la doctrine sous la Troisième République, t. II</w:t>
      </w:r>
      <w:proofErr w:type="gramStart"/>
      <w:r w:rsidRPr="00E72A9B">
        <w:rPr>
          <w:rFonts w:ascii="Arial" w:hAnsi="Arial" w:cs="Arial"/>
          <w:color w:val="3E3B38"/>
          <w:sz w:val="18"/>
          <w:szCs w:val="18"/>
        </w:rPr>
        <w:t>, ,Paris</w:t>
      </w:r>
      <w:proofErr w:type="gramEnd"/>
      <w:r w:rsidRPr="00E72A9B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2005, 142 p.</w:t>
      </w:r>
    </w:p>
    <w:p w14:paraId="4C2A8499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El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en Argentina. Sociedad,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política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e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ideas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a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través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gramStart"/>
      <w:r w:rsidRPr="00E72A9B">
        <w:rPr>
          <w:rFonts w:ascii="Arial" w:hAnsi="Arial" w:cs="Arial"/>
          <w:color w:val="3E3B38"/>
          <w:sz w:val="18"/>
          <w:szCs w:val="18"/>
        </w:rPr>
        <w:t>de un</w:t>
      </w:r>
      <w:proofErr w:type="gram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siglo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, Buenos Aires,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Prometeo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2005, 414 p. [en collaboration avec H. Camarero].</w:t>
      </w:r>
    </w:p>
    <w:p w14:paraId="162DB41E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Par le droit, au-delà du droit. Textes sur le socialisme juridique,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2003, 229 p.</w:t>
      </w:r>
    </w:p>
    <w:p w14:paraId="7263AC7A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Les juristes face au politique : le droit, la gauche, la doctrine sous la Troisième République,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2003, 195 p.</w:t>
      </w:r>
    </w:p>
    <w:p w14:paraId="74DCAC65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Les juristes de gauche sous la République de Weimar,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2002, 128 p.</w:t>
      </w:r>
    </w:p>
    <w:p w14:paraId="50CE8412" w14:textId="77777777" w:rsidR="00ED671D" w:rsidRPr="00E72A9B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>Actualité de Kelsen en France, Paris, LGDJ, 2001, 160 p.</w:t>
      </w:r>
    </w:p>
    <w:p w14:paraId="1DAD773D" w14:textId="350D8859" w:rsidR="00ED671D" w:rsidRDefault="00ED671D" w:rsidP="00E72A9B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Le droit, le politique. Autour de Max Weber, Hans Kelsen, Carl Schmitt, Paris,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L'Harmattan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1995, 315 p.</w:t>
      </w:r>
    </w:p>
    <w:p w14:paraId="633495B2" w14:textId="77777777" w:rsidR="00E72A9B" w:rsidRPr="00E72A9B" w:rsidRDefault="00E72A9B" w:rsidP="00E72A9B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2C42AB1" w14:textId="77777777" w:rsidR="00ED671D" w:rsidRPr="00E72A9B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72A9B">
        <w:rPr>
          <w:rFonts w:ascii="Arial" w:hAnsi="Arial" w:cs="Arial"/>
          <w:b/>
          <w:color w:val="3E3B38"/>
          <w:sz w:val="18"/>
          <w:szCs w:val="18"/>
        </w:rPr>
        <w:t>Direction de dossiers de revues</w:t>
      </w:r>
    </w:p>
    <w:p w14:paraId="5AA67F5F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0714CC2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Penser le droit public avec Michel Foucault, Revue Interdisciplinaire d’Etudes Juridiques, n° 79, 2017, p. 39-147 [en collaboration avec Fatou Ba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Séne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]</w:t>
      </w:r>
    </w:p>
    <w:p w14:paraId="559A81DF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Legal Culture and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Politics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, International Journal for the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Semiotics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of Law – Revue internationale de sémiotique juridique, n° 29/4, 2016.</w:t>
      </w:r>
    </w:p>
    <w:p w14:paraId="23752839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lastRenderedPageBreak/>
        <w:t xml:space="preserve">El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camino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proofErr w:type="gramStart"/>
      <w:r w:rsidRPr="00E72A9B">
        <w:rPr>
          <w:rFonts w:ascii="Arial" w:hAnsi="Arial" w:cs="Arial"/>
          <w:color w:val="3E3B38"/>
          <w:sz w:val="18"/>
          <w:szCs w:val="18"/>
        </w:rPr>
        <w:t>reformista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:</w:t>
      </w:r>
      <w:proofErr w:type="gramEnd"/>
      <w:r w:rsidRPr="00E72A9B">
        <w:rPr>
          <w:rFonts w:ascii="Arial" w:hAnsi="Arial" w:cs="Arial"/>
          <w:color w:val="3E3B38"/>
          <w:sz w:val="18"/>
          <w:szCs w:val="18"/>
        </w:rPr>
        <w:t xml:space="preserve"> el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desde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sus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orígenes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a la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ley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Sáenz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Peña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Archivos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de historia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movimiento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obrero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y de la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izquierda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n° 6, 2015, p. 9-114. [</w:t>
      </w:r>
      <w:proofErr w:type="gramStart"/>
      <w:r w:rsidRPr="00E72A9B">
        <w:rPr>
          <w:rFonts w:ascii="Arial" w:hAnsi="Arial" w:cs="Arial"/>
          <w:color w:val="3E3B38"/>
          <w:sz w:val="18"/>
          <w:szCs w:val="18"/>
        </w:rPr>
        <w:t>en</w:t>
      </w:r>
      <w:proofErr w:type="gramEnd"/>
      <w:r w:rsidRPr="00E72A9B">
        <w:rPr>
          <w:rFonts w:ascii="Arial" w:hAnsi="Arial" w:cs="Arial"/>
          <w:color w:val="3E3B38"/>
          <w:sz w:val="18"/>
          <w:szCs w:val="18"/>
        </w:rPr>
        <w:t xml:space="preserve"> collaboration avec L. POY]</w:t>
      </w:r>
    </w:p>
    <w:p w14:paraId="6094CEDF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Modèle et modélisation en droit constitutionnel. Approches classiques, nouvelles pratiques,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Politeia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n° 26, 2014, p. [en collaboration avec S. SCHOTT]</w:t>
      </w:r>
    </w:p>
    <w:p w14:paraId="47D13BBE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>L’argumentation des juristes et ses contraintes, Droits, n° 54, 2011, p. et n° 55, 2012, p. 2-128 [en collaboration avec S. RIALS et A. LE PILLOUER]</w:t>
      </w:r>
    </w:p>
    <w:p w14:paraId="40EDD618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>La “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crisis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peronista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”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del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Partido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Socialista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>, com [mis en ligne en février 2012]</w:t>
      </w:r>
    </w:p>
    <w:p w14:paraId="7F3B2A09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>Le surmoi, genèse politique. Autour de Freud et Kelsen, Philosophie, littérature, Sciences humaines, Paris, n° 3, 2007, p. 4-220 [en collaboration avec E. BALIBAR et B. OGILVIE]</w:t>
      </w:r>
    </w:p>
    <w:p w14:paraId="1BC89AE0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¿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Girar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a la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izquierda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?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Disidencias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en el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socialismo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argentino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Nuevo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Topo.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Revista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de historia y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pensamiento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crítico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, Buenos Aires, n° 2, </w:t>
      </w:r>
      <w:proofErr w:type="spellStart"/>
      <w:r w:rsidRPr="00E72A9B">
        <w:rPr>
          <w:rFonts w:ascii="Arial" w:hAnsi="Arial" w:cs="Arial"/>
          <w:color w:val="3E3B38"/>
          <w:sz w:val="18"/>
          <w:szCs w:val="18"/>
        </w:rPr>
        <w:t>abril</w:t>
      </w:r>
      <w:proofErr w:type="spellEnd"/>
      <w:r w:rsidRPr="00E72A9B">
        <w:rPr>
          <w:rFonts w:ascii="Arial" w:hAnsi="Arial" w:cs="Arial"/>
          <w:color w:val="3E3B38"/>
          <w:sz w:val="18"/>
          <w:szCs w:val="18"/>
        </w:rPr>
        <w:t xml:space="preserve"> 2006, p. 95-153.</w:t>
      </w:r>
    </w:p>
    <w:p w14:paraId="79EA43BC" w14:textId="77777777" w:rsidR="00ED671D" w:rsidRPr="00E72A9B" w:rsidRDefault="00ED671D" w:rsidP="00E72A9B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E72A9B">
        <w:rPr>
          <w:rFonts w:ascii="Arial" w:hAnsi="Arial" w:cs="Arial"/>
          <w:color w:val="3E3B38"/>
          <w:sz w:val="18"/>
          <w:szCs w:val="18"/>
        </w:rPr>
        <w:t xml:space="preserve">Amérique Latine. Le monde vu du sud, Actuel Marx, Paris, n° 16, 1993, p. 17-111 [en collaboration avec J. BIDET, A. KOHEN et J. TEXIER].                                                                                            </w:t>
      </w:r>
    </w:p>
    <w:p w14:paraId="2B3584A0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F2DB562" w14:textId="77777777" w:rsidR="00ED671D" w:rsidRPr="00E72A9B" w:rsidRDefault="00ED671D" w:rsidP="00E72A9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E72A9B">
        <w:rPr>
          <w:rFonts w:ascii="Arial" w:hAnsi="Arial" w:cs="Arial"/>
          <w:b/>
          <w:color w:val="3E3B38"/>
          <w:sz w:val="18"/>
          <w:szCs w:val="18"/>
        </w:rPr>
        <w:t>Comptes-rendus</w:t>
      </w:r>
    </w:p>
    <w:p w14:paraId="57944079" w14:textId="77777777" w:rsidR="00ED671D" w:rsidRPr="00ED671D" w:rsidRDefault="00ED671D" w:rsidP="00ED67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BE6F722" w14:textId="6D7A53EC" w:rsidR="000D2E7A" w:rsidRPr="00E72A9B" w:rsidRDefault="00ED671D" w:rsidP="00E72A9B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E72A9B">
        <w:rPr>
          <w:rFonts w:ascii="Arial" w:hAnsi="Arial" w:cs="Arial"/>
          <w:color w:val="3E3B38"/>
          <w:sz w:val="18"/>
          <w:szCs w:val="18"/>
        </w:rPr>
        <w:t>« Les grands arrêts politiques de la jurisprudence administrative » - Table-ronde organisée à Paris, le 29 janvier 2020, Revue Française de Droit Administratif, n° 3, mai-juin 2020, p. 557-558.</w:t>
      </w:r>
    </w:p>
    <w:sectPr w:rsidR="000D2E7A" w:rsidRPr="00E72A9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5BD5B" w14:textId="77777777" w:rsidR="00124F8E" w:rsidRDefault="00124F8E" w:rsidP="00F342F6">
      <w:r>
        <w:separator/>
      </w:r>
    </w:p>
  </w:endnote>
  <w:endnote w:type="continuationSeparator" w:id="0">
    <w:p w14:paraId="4F64C29E" w14:textId="77777777" w:rsidR="00124F8E" w:rsidRDefault="00124F8E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5086" w14:textId="77777777" w:rsidR="00124F8E" w:rsidRDefault="00124F8E" w:rsidP="00F342F6">
      <w:r>
        <w:separator/>
      </w:r>
    </w:p>
  </w:footnote>
  <w:footnote w:type="continuationSeparator" w:id="0">
    <w:p w14:paraId="39DA03DD" w14:textId="77777777" w:rsidR="00124F8E" w:rsidRDefault="00124F8E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BC7"/>
    <w:multiLevelType w:val="hybridMultilevel"/>
    <w:tmpl w:val="3A44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6A9"/>
    <w:multiLevelType w:val="hybridMultilevel"/>
    <w:tmpl w:val="BA90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52FF4"/>
    <w:multiLevelType w:val="hybridMultilevel"/>
    <w:tmpl w:val="DFF69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351FD"/>
    <w:multiLevelType w:val="hybridMultilevel"/>
    <w:tmpl w:val="1CBA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A20"/>
    <w:multiLevelType w:val="hybridMultilevel"/>
    <w:tmpl w:val="8590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6264"/>
    <w:multiLevelType w:val="hybridMultilevel"/>
    <w:tmpl w:val="CE90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C4DA0"/>
    <w:multiLevelType w:val="hybridMultilevel"/>
    <w:tmpl w:val="6996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D75A4"/>
    <w:multiLevelType w:val="hybridMultilevel"/>
    <w:tmpl w:val="B3181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660642DA"/>
    <w:multiLevelType w:val="hybridMultilevel"/>
    <w:tmpl w:val="F030E030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26503"/>
    <w:multiLevelType w:val="hybridMultilevel"/>
    <w:tmpl w:val="C3D43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E3C38"/>
    <w:multiLevelType w:val="hybridMultilevel"/>
    <w:tmpl w:val="D906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3"/>
  </w:num>
  <w:num w:numId="5">
    <w:abstractNumId w:val="3"/>
  </w:num>
  <w:num w:numId="6">
    <w:abstractNumId w:val="2"/>
  </w:num>
  <w:num w:numId="7">
    <w:abstractNumId w:val="9"/>
  </w:num>
  <w:num w:numId="8">
    <w:abstractNumId w:val="16"/>
  </w:num>
  <w:num w:numId="9">
    <w:abstractNumId w:val="11"/>
  </w:num>
  <w:num w:numId="10">
    <w:abstractNumId w:val="15"/>
  </w:num>
  <w:num w:numId="11">
    <w:abstractNumId w:val="4"/>
  </w:num>
  <w:num w:numId="12">
    <w:abstractNumId w:val="0"/>
  </w:num>
  <w:num w:numId="13">
    <w:abstractNumId w:val="5"/>
  </w:num>
  <w:num w:numId="14">
    <w:abstractNumId w:val="10"/>
  </w:num>
  <w:num w:numId="15">
    <w:abstractNumId w:val="8"/>
  </w:num>
  <w:num w:numId="16">
    <w:abstractNumId w:val="17"/>
  </w:num>
  <w:num w:numId="17">
    <w:abstractNumId w:val="6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2E7A"/>
    <w:rsid w:val="000D3D3F"/>
    <w:rsid w:val="000E3DFA"/>
    <w:rsid w:val="000E5D31"/>
    <w:rsid w:val="000F24C4"/>
    <w:rsid w:val="00124F8E"/>
    <w:rsid w:val="0020609E"/>
    <w:rsid w:val="002333AF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22A7E"/>
    <w:rsid w:val="00425E65"/>
    <w:rsid w:val="004373F3"/>
    <w:rsid w:val="00460B69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870838"/>
    <w:rsid w:val="008F6F82"/>
    <w:rsid w:val="0098770C"/>
    <w:rsid w:val="00A22947"/>
    <w:rsid w:val="00A257E7"/>
    <w:rsid w:val="00A25C27"/>
    <w:rsid w:val="00A6224B"/>
    <w:rsid w:val="00A75081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E72A9B"/>
    <w:rsid w:val="00ED671D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98D4A-4948-454E-AA10-BDA5F247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3606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2022-06-30T13:27:00Z</dcterms:created>
  <dcterms:modified xsi:type="dcterms:W3CDTF">2022-06-30T13:27:00Z</dcterms:modified>
</cp:coreProperties>
</file>