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Default="00812ACC" w:rsidP="00273F1D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5A376E85" w14:textId="626B3A18" w:rsidR="002F64FD" w:rsidRDefault="002F64FD" w:rsidP="00273F1D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223B45E6" w14:textId="77777777" w:rsidR="00A761B4" w:rsidRPr="00A761B4" w:rsidRDefault="00A761B4" w:rsidP="00273F1D">
      <w:pPr>
        <w:adjustRightInd w:val="0"/>
        <w:snapToGrid w:val="0"/>
        <w:ind w:left="680" w:right="680"/>
        <w:jc w:val="center"/>
        <w:rPr>
          <w:rFonts w:ascii="Arial" w:hAnsi="Arial" w:cs="Arial"/>
          <w:b/>
          <w:bCs/>
          <w:color w:val="3E3B38"/>
          <w:sz w:val="36"/>
          <w:szCs w:val="36"/>
        </w:rPr>
      </w:pPr>
      <w:r w:rsidRPr="00A761B4">
        <w:rPr>
          <w:rFonts w:ascii="Arial" w:hAnsi="Arial" w:cs="Arial"/>
          <w:b/>
          <w:bCs/>
          <w:color w:val="3E3B38"/>
          <w:sz w:val="36"/>
          <w:szCs w:val="36"/>
        </w:rPr>
        <w:t>Carole AUBERT DE VINCELLES</w:t>
      </w:r>
    </w:p>
    <w:p w14:paraId="56F5567B" w14:textId="327A827C" w:rsidR="00A761B4" w:rsidRPr="00A761B4" w:rsidRDefault="00A761B4" w:rsidP="00273F1D">
      <w:pPr>
        <w:adjustRightInd w:val="0"/>
        <w:snapToGrid w:val="0"/>
        <w:ind w:left="680" w:right="680"/>
        <w:jc w:val="center"/>
        <w:rPr>
          <w:rFonts w:ascii="Arial" w:hAnsi="Arial" w:cs="Arial"/>
          <w:bCs/>
          <w:color w:val="3E3B38"/>
          <w:sz w:val="28"/>
          <w:szCs w:val="36"/>
        </w:rPr>
      </w:pPr>
      <w:r w:rsidRPr="00A761B4">
        <w:rPr>
          <w:rFonts w:ascii="Arial" w:hAnsi="Arial" w:cs="Arial"/>
          <w:bCs/>
          <w:color w:val="3E3B38"/>
          <w:sz w:val="28"/>
          <w:szCs w:val="36"/>
        </w:rPr>
        <w:t>Professeur des universités en droit privé</w:t>
      </w:r>
    </w:p>
    <w:p w14:paraId="01B45BD7" w14:textId="6AB44EAD" w:rsidR="00FA24D4" w:rsidRPr="0062322B" w:rsidRDefault="0062322B" w:rsidP="00273F1D">
      <w:pPr>
        <w:adjustRightInd w:val="0"/>
        <w:snapToGrid w:val="0"/>
        <w:ind w:left="680" w:right="680"/>
        <w:jc w:val="both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ab/>
      </w:r>
    </w:p>
    <w:p w14:paraId="6EB3632C" w14:textId="77777777" w:rsidR="003A1D74" w:rsidRPr="003A1D74" w:rsidRDefault="003A1D74" w:rsidP="00273F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3E3B38"/>
          <w:sz w:val="20"/>
          <w:szCs w:val="20"/>
        </w:rPr>
      </w:pPr>
      <w:bookmarkStart w:id="0" w:name="_GoBack"/>
      <w:bookmarkEnd w:id="0"/>
    </w:p>
    <w:p w14:paraId="25D09437" w14:textId="77777777" w:rsidR="00CE4422" w:rsidRDefault="00CE4422" w:rsidP="00273F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1FA94FEE" w14:textId="77777777" w:rsidR="00A761B4" w:rsidRPr="00A761B4" w:rsidRDefault="00A761B4" w:rsidP="00273F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 w:rsidRPr="00A761B4">
        <w:rPr>
          <w:rFonts w:ascii="Arial" w:hAnsi="Arial" w:cs="Arial"/>
          <w:b/>
          <w:bCs/>
          <w:color w:val="C00000"/>
          <w:sz w:val="20"/>
          <w:szCs w:val="20"/>
        </w:rPr>
        <w:t>Publications</w:t>
      </w:r>
    </w:p>
    <w:p w14:paraId="3D6C210C" w14:textId="77777777" w:rsidR="00A761B4" w:rsidRPr="00A761B4" w:rsidRDefault="00A761B4" w:rsidP="00273F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 </w:t>
      </w:r>
    </w:p>
    <w:p w14:paraId="783C9D0D" w14:textId="77777777" w:rsidR="00A761B4" w:rsidRPr="00A761B4" w:rsidRDefault="00A761B4" w:rsidP="00273F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Ouvrages et direction d’ouvrages</w:t>
      </w:r>
    </w:p>
    <w:p w14:paraId="4861F7CE" w14:textId="77777777" w:rsidR="00A761B4" w:rsidRPr="00A761B4" w:rsidRDefault="00A761B4" w:rsidP="00273F1D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 xml:space="preserve">Aubert de Vincelles et N.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Sauphanor-Brouillaud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(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.),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Les 20 ans du Code de la consommation. Nouveaux enjeux</w:t>
      </w:r>
      <w:r w:rsidRPr="00A761B4">
        <w:rPr>
          <w:rFonts w:ascii="Arial" w:hAnsi="Arial" w:cs="Arial"/>
          <w:color w:val="3E3B38"/>
          <w:sz w:val="20"/>
          <w:szCs w:val="20"/>
        </w:rPr>
        <w:t>, Lextenso, coll. LEJEP, 2013 (210 pages)</w:t>
      </w:r>
    </w:p>
    <w:p w14:paraId="716C6BE1" w14:textId="77777777" w:rsidR="00A761B4" w:rsidRPr="00A761B4" w:rsidRDefault="00A761B4" w:rsidP="00273F1D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 xml:space="preserve">N.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Sauphanor-Brouillaud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, E.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Poillot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, C. Aubert de Vincelles et G.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Brunaux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, </w:t>
      </w:r>
      <w:r w:rsidRPr="00A761B4">
        <w:rPr>
          <w:rFonts w:ascii="Arial" w:hAnsi="Arial" w:cs="Arial"/>
          <w:b/>
          <w:bCs/>
          <w:i/>
          <w:iCs/>
          <w:color w:val="3E3B38"/>
          <w:sz w:val="20"/>
          <w:szCs w:val="20"/>
        </w:rPr>
        <w:t>Les contrats de consommation, Règles communes</w:t>
      </w:r>
      <w:r w:rsidRPr="00A761B4">
        <w:rPr>
          <w:rFonts w:ascii="Arial" w:hAnsi="Arial" w:cs="Arial"/>
          <w:color w:val="3E3B38"/>
          <w:sz w:val="20"/>
          <w:szCs w:val="20"/>
        </w:rPr>
        <w:t>, Traité de droit civil, J. Ghestin (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.), LGDJ, 2012 (1152 pages)</w:t>
      </w:r>
    </w:p>
    <w:p w14:paraId="677392F8" w14:textId="5E8BE190" w:rsidR="00A761B4" w:rsidRDefault="00A761B4" w:rsidP="00273F1D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 xml:space="preserve">N.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Sauphanor-Brouillaud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, C. Aubert de Vincelles, G.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Brunaux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et L.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Usunier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, </w:t>
      </w:r>
      <w:r w:rsidRPr="00A761B4">
        <w:rPr>
          <w:rFonts w:ascii="Arial" w:hAnsi="Arial" w:cs="Arial"/>
          <w:b/>
          <w:bCs/>
          <w:i/>
          <w:iCs/>
          <w:color w:val="3E3B38"/>
          <w:sz w:val="20"/>
          <w:szCs w:val="20"/>
        </w:rPr>
        <w:t>Les contrats de consommation, Règles communes</w:t>
      </w:r>
      <w:r w:rsidRPr="00A761B4">
        <w:rPr>
          <w:rFonts w:ascii="Arial" w:hAnsi="Arial" w:cs="Arial"/>
          <w:color w:val="3E3B38"/>
          <w:sz w:val="20"/>
          <w:szCs w:val="20"/>
        </w:rPr>
        <w:t>, Traité de droit civil, J. Ghestin (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.), LGDJ, 2</w:t>
      </w:r>
      <w:r w:rsidRPr="00A761B4">
        <w:rPr>
          <w:rFonts w:ascii="Arial" w:hAnsi="Arial" w:cs="Arial"/>
          <w:color w:val="3E3B38"/>
          <w:sz w:val="20"/>
          <w:szCs w:val="20"/>
          <w:vertAlign w:val="superscript"/>
        </w:rPr>
        <w:t>ème</w:t>
      </w:r>
      <w:r w:rsidRPr="00A761B4">
        <w:rPr>
          <w:rFonts w:ascii="Arial" w:hAnsi="Arial" w:cs="Arial"/>
          <w:color w:val="3E3B38"/>
          <w:sz w:val="20"/>
          <w:szCs w:val="20"/>
        </w:rPr>
        <w:t> éd., 2018 (1419 pages)</w:t>
      </w:r>
    </w:p>
    <w:p w14:paraId="06FF88A0" w14:textId="77777777" w:rsidR="00A761B4" w:rsidRDefault="00A761B4" w:rsidP="00273F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57DA143A" w14:textId="72F047CD" w:rsidR="00A761B4" w:rsidRPr="00A761B4" w:rsidRDefault="00A761B4" w:rsidP="00273F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Contributions à des ouvrages collectifs </w:t>
      </w:r>
      <w:r w:rsidRPr="00A761B4">
        <w:rPr>
          <w:rFonts w:ascii="Arial" w:hAnsi="Arial" w:cs="Arial"/>
          <w:color w:val="3E3B38"/>
          <w:sz w:val="20"/>
          <w:szCs w:val="20"/>
        </w:rPr>
        <w:t>(hors publication de colloques)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:</w:t>
      </w:r>
    </w:p>
    <w:p w14:paraId="6446D0A1" w14:textId="77777777" w:rsidR="00A761B4" w:rsidRPr="00A761B4" w:rsidRDefault="00A761B4" w:rsidP="00273F1D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"La jurisprudence de la Cour de justice de l'Union européenne en matière de droit de la consommation"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, in Y.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Picod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(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.), Le droit européen de la consommation, Quatrièmes rencontres européennes de Perpignan, Mare et Martin, 2018, p. 35 à 65</w:t>
      </w:r>
    </w:p>
    <w:p w14:paraId="0BBEAF58" w14:textId="77777777" w:rsidR="00A761B4" w:rsidRPr="00A761B4" w:rsidRDefault="00A761B4" w:rsidP="00273F1D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  <w:lang w:val="en-US"/>
        </w:rPr>
      </w:pPr>
      <w:r w:rsidRPr="00A761B4">
        <w:rPr>
          <w:rFonts w:ascii="Arial" w:hAnsi="Arial" w:cs="Arial"/>
          <w:color w:val="3E3B38"/>
          <w:sz w:val="20"/>
          <w:szCs w:val="20"/>
          <w:lang w:val="en-US"/>
        </w:rPr>
        <w:t>"</w:t>
      </w:r>
      <w:r w:rsidRPr="00A761B4">
        <w:rPr>
          <w:rFonts w:ascii="Arial" w:hAnsi="Arial" w:cs="Arial"/>
          <w:b/>
          <w:bCs/>
          <w:color w:val="3E3B38"/>
          <w:sz w:val="20"/>
          <w:szCs w:val="20"/>
          <w:lang w:val="en-US"/>
        </w:rPr>
        <w:t xml:space="preserve">Validity of Contract: </w:t>
      </w:r>
      <w:proofErr w:type="spellStart"/>
      <w:r w:rsidRPr="00A761B4">
        <w:rPr>
          <w:rFonts w:ascii="Arial" w:hAnsi="Arial" w:cs="Arial"/>
          <w:b/>
          <w:bCs/>
          <w:color w:val="3E3B38"/>
          <w:sz w:val="20"/>
          <w:szCs w:val="20"/>
          <w:lang w:val="en-US"/>
        </w:rPr>
        <w:t>Dol</w:t>
      </w:r>
      <w:proofErr w:type="spellEnd"/>
      <w:r w:rsidRPr="00A761B4">
        <w:rPr>
          <w:rFonts w:ascii="Arial" w:hAnsi="Arial" w:cs="Arial"/>
          <w:b/>
          <w:bCs/>
          <w:color w:val="3E3B38"/>
          <w:sz w:val="20"/>
          <w:szCs w:val="20"/>
          <w:lang w:val="en-US"/>
        </w:rPr>
        <w:t xml:space="preserve">, </w:t>
      </w:r>
      <w:proofErr w:type="spellStart"/>
      <w:r w:rsidRPr="00A761B4">
        <w:rPr>
          <w:rFonts w:ascii="Arial" w:hAnsi="Arial" w:cs="Arial"/>
          <w:b/>
          <w:bCs/>
          <w:color w:val="3E3B38"/>
          <w:sz w:val="20"/>
          <w:szCs w:val="20"/>
          <w:lang w:val="en-US"/>
        </w:rPr>
        <w:t>Erreur</w:t>
      </w:r>
      <w:proofErr w:type="spellEnd"/>
      <w:r w:rsidRPr="00A761B4">
        <w:rPr>
          <w:rFonts w:ascii="Arial" w:hAnsi="Arial" w:cs="Arial"/>
          <w:b/>
          <w:bCs/>
          <w:color w:val="3E3B38"/>
          <w:sz w:val="20"/>
          <w:szCs w:val="20"/>
          <w:lang w:val="en-US"/>
        </w:rPr>
        <w:t xml:space="preserve"> and Obligation </w:t>
      </w:r>
      <w:proofErr w:type="spellStart"/>
      <w:r w:rsidRPr="00A761B4">
        <w:rPr>
          <w:rFonts w:ascii="Arial" w:hAnsi="Arial" w:cs="Arial"/>
          <w:b/>
          <w:bCs/>
          <w:color w:val="3E3B38"/>
          <w:sz w:val="20"/>
          <w:szCs w:val="20"/>
          <w:lang w:val="en-US"/>
        </w:rPr>
        <w:t>d'Information</w:t>
      </w:r>
      <w:proofErr w:type="spellEnd"/>
      <w:r w:rsidRPr="00A761B4">
        <w:rPr>
          <w:rFonts w:ascii="Arial" w:hAnsi="Arial" w:cs="Arial"/>
          <w:color w:val="3E3B38"/>
          <w:sz w:val="20"/>
          <w:szCs w:val="20"/>
          <w:lang w:val="en-US"/>
        </w:rPr>
        <w:t>", in J. Cartwright and S. Whittaker (eds.), The Code Napoléon Rewritten: French Contract Law after the 2016 Reforms, Hart publishing, 2017, p 79 à 107</w:t>
      </w:r>
    </w:p>
    <w:p w14:paraId="2D598A4D" w14:textId="77777777" w:rsidR="00A761B4" w:rsidRPr="00A761B4" w:rsidRDefault="00A761B4" w:rsidP="00273F1D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Repenser les notions de consommateur et de professionnel. Réflexions sur les frontières du droit de la consommation 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»,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in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40 ans du Centre de droit de la consommation et du marché, UMR-CNRS 5815 « Dynamiques du droit », Lextenso, 2017, p 65 à 92</w:t>
      </w:r>
    </w:p>
    <w:p w14:paraId="5F1B82D0" w14:textId="77777777" w:rsidR="00A761B4" w:rsidRPr="00A761B4" w:rsidRDefault="00A761B4" w:rsidP="00273F1D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"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Remèdes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", in N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Sauphanor-Broullaud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et J. Sénéchal (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.), Contrats de fourniture de contenu numérique, Enjeux des négociations en cours sur la proposition de directive du parlement européen et du conseil (</w:t>
      </w:r>
      <w:proofErr w:type="gramStart"/>
      <w:r w:rsidRPr="00A761B4">
        <w:rPr>
          <w:rFonts w:ascii="Arial" w:hAnsi="Arial" w:cs="Arial"/>
          <w:color w:val="3E3B38"/>
          <w:sz w:val="20"/>
          <w:szCs w:val="20"/>
        </w:rPr>
        <w:t>Com(</w:t>
      </w:r>
      <w:proofErr w:type="gramEnd"/>
      <w:r w:rsidRPr="00A761B4">
        <w:rPr>
          <w:rFonts w:ascii="Arial" w:hAnsi="Arial" w:cs="Arial"/>
          <w:color w:val="3E3B38"/>
          <w:sz w:val="20"/>
          <w:szCs w:val="20"/>
        </w:rPr>
        <w:t xml:space="preserve">2015) 634 final), expertise par le réseau Trans Europe Experts et l'INRIA, Contrats, conc. </w:t>
      </w:r>
      <w:proofErr w:type="spellStart"/>
      <w:proofErr w:type="gramStart"/>
      <w:r w:rsidRPr="00A761B4">
        <w:rPr>
          <w:rFonts w:ascii="Arial" w:hAnsi="Arial" w:cs="Arial"/>
          <w:color w:val="3E3B38"/>
          <w:sz w:val="20"/>
          <w:szCs w:val="20"/>
        </w:rPr>
        <w:t>consom</w:t>
      </w:r>
      <w:proofErr w:type="spellEnd"/>
      <w:proofErr w:type="gramEnd"/>
      <w:r w:rsidRPr="00A761B4">
        <w:rPr>
          <w:rFonts w:ascii="Arial" w:hAnsi="Arial" w:cs="Arial"/>
          <w:color w:val="3E3B38"/>
          <w:sz w:val="20"/>
          <w:szCs w:val="20"/>
        </w:rPr>
        <w:t>., dossier, février 2017, p 55 à 58</w:t>
      </w:r>
    </w:p>
    <w:p w14:paraId="3D765368" w14:textId="77777777" w:rsidR="00A761B4" w:rsidRPr="00A761B4" w:rsidRDefault="00A761B4" w:rsidP="00273F1D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"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Concurrence et consommateurs. L'emprise de la concurrence sur le droit de la consommation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", in M.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Behar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-Touchais, N.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Charbit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et R. Amaro (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.), </w:t>
      </w:r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A quoi sert la concurrence ? 100 personnalités répondent</w:t>
      </w:r>
      <w:r w:rsidRPr="00A761B4">
        <w:rPr>
          <w:rFonts w:ascii="Arial" w:hAnsi="Arial" w:cs="Arial"/>
          <w:color w:val="3E3B38"/>
          <w:sz w:val="20"/>
          <w:szCs w:val="20"/>
        </w:rPr>
        <w:t>, Institut de droit de la concurrence, 2014, p. 269 à 274</w:t>
      </w:r>
    </w:p>
    <w:p w14:paraId="7F6AA18E" w14:textId="77777777" w:rsidR="00A761B4" w:rsidRPr="00A761B4" w:rsidRDefault="00A761B4" w:rsidP="00273F1D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Aubert de Vincelles,</w:t>
      </w:r>
      <w:proofErr w:type="gramStart"/>
      <w:r w:rsidRPr="00A761B4">
        <w:rPr>
          <w:rFonts w:ascii="Arial" w:hAnsi="Arial" w:cs="Arial"/>
          <w:color w:val="3E3B38"/>
          <w:sz w:val="20"/>
          <w:szCs w:val="20"/>
        </w:rPr>
        <w:t xml:space="preserve"> «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Protection</w:t>
      </w:r>
      <w:proofErr w:type="gramEnd"/>
      <w:r w:rsidRPr="00A761B4">
        <w:rPr>
          <w:rFonts w:ascii="Arial" w:hAnsi="Arial" w:cs="Arial"/>
          <w:b/>
          <w:bCs/>
          <w:color w:val="3E3B38"/>
          <w:sz w:val="20"/>
          <w:szCs w:val="20"/>
        </w:rPr>
        <w:t xml:space="preserve"> des intérêts économiques des consommateurs. Contrats </w:t>
      </w:r>
      <w:proofErr w:type="gramStart"/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spécifiques</w:t>
      </w:r>
      <w:r w:rsidRPr="00A761B4">
        <w:rPr>
          <w:rFonts w:ascii="Arial" w:hAnsi="Arial" w:cs="Arial"/>
          <w:color w:val="3E3B38"/>
          <w:sz w:val="20"/>
          <w:szCs w:val="20"/>
        </w:rPr>
        <w:t>»</w:t>
      </w:r>
      <w:proofErr w:type="gramEnd"/>
      <w:r w:rsidRPr="00A761B4">
        <w:rPr>
          <w:rFonts w:ascii="Arial" w:hAnsi="Arial" w:cs="Arial"/>
          <w:color w:val="3E3B38"/>
          <w:sz w:val="20"/>
          <w:szCs w:val="20"/>
        </w:rPr>
        <w:t>, Jurisclasseur Europe, Fasc. 2011, 2014</w:t>
      </w:r>
    </w:p>
    <w:p w14:paraId="38C4D08E" w14:textId="77777777" w:rsidR="00A761B4" w:rsidRPr="00A761B4" w:rsidRDefault="00A761B4" w:rsidP="00273F1D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Aubert de Vincelles, 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Protection des intérêts économiques des consommateurs. Droit des contrats </w:t>
      </w:r>
      <w:r w:rsidRPr="00A761B4">
        <w:rPr>
          <w:rFonts w:ascii="Arial" w:hAnsi="Arial" w:cs="Arial"/>
          <w:color w:val="3E3B38"/>
          <w:sz w:val="20"/>
          <w:szCs w:val="20"/>
        </w:rPr>
        <w:t>», Jurisclasseur Europe, Fasc. 2010, 2014</w:t>
      </w:r>
    </w:p>
    <w:p w14:paraId="718196BF" w14:textId="77777777" w:rsidR="00A761B4" w:rsidRPr="00A761B4" w:rsidRDefault="00A761B4" w:rsidP="00273F1D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C. Aubert de Vincelles, 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La rupture abusive </w:t>
      </w:r>
      <w:r w:rsidRPr="00A761B4">
        <w:rPr>
          <w:rFonts w:ascii="Arial" w:hAnsi="Arial" w:cs="Arial"/>
          <w:color w:val="3E3B38"/>
          <w:sz w:val="20"/>
          <w:szCs w:val="20"/>
        </w:rPr>
        <w:t>», in </w:t>
      </w:r>
      <w:proofErr w:type="spellStart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Contract</w:t>
      </w:r>
      <w:proofErr w:type="spellEnd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 xml:space="preserve"> </w:t>
      </w:r>
      <w:proofErr w:type="spellStart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law</w:t>
      </w:r>
      <w:proofErr w:type="spellEnd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 xml:space="preserve"> : </w:t>
      </w:r>
      <w:proofErr w:type="spellStart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Current</w:t>
      </w:r>
      <w:proofErr w:type="spellEnd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 xml:space="preserve"> Issues of the French </w:t>
      </w:r>
      <w:proofErr w:type="spellStart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law</w:t>
      </w:r>
      <w:proofErr w:type="spellEnd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 xml:space="preserve"> of obligations and the </w:t>
      </w:r>
      <w:proofErr w:type="spellStart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reform</w:t>
      </w:r>
      <w:proofErr w:type="spellEnd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 xml:space="preserve"> </w:t>
      </w:r>
      <w:proofErr w:type="spellStart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projects</w:t>
      </w:r>
      <w:proofErr w:type="spellEnd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 xml:space="preserve"> in a comparative </w:t>
      </w:r>
      <w:proofErr w:type="spellStart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context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, O. Deshayes et W.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Doralt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(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.), Société de Législation comparée, 2013, p 49 à 62</w:t>
      </w:r>
    </w:p>
    <w:p w14:paraId="13812250" w14:textId="77777777" w:rsidR="00A761B4" w:rsidRPr="00A761B4" w:rsidRDefault="00A761B4" w:rsidP="00273F1D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  <w:lang w:val="en-US"/>
        </w:rPr>
        <w:t xml:space="preserve">Aubert de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  <w:lang w:val="en-US"/>
        </w:rPr>
        <w:t>Vincelles</w:t>
      </w:r>
      <w:proofErr w:type="spellEnd"/>
      <w:r w:rsidRPr="00A761B4">
        <w:rPr>
          <w:rFonts w:ascii="Arial" w:hAnsi="Arial" w:cs="Arial"/>
          <w:color w:val="3E3B38"/>
          <w:sz w:val="20"/>
          <w:szCs w:val="20"/>
          <w:lang w:val="en-US"/>
        </w:rPr>
        <w:t>, </w:t>
      </w:r>
      <w:r w:rsidRPr="00A761B4">
        <w:rPr>
          <w:rFonts w:ascii="Arial" w:hAnsi="Arial" w:cs="Arial"/>
          <w:b/>
          <w:bCs/>
          <w:color w:val="3E3B38"/>
          <w:sz w:val="20"/>
          <w:szCs w:val="20"/>
          <w:lang w:val="en-US"/>
        </w:rPr>
        <w:t>« Position of the Law of Obligations in National and Supranational Law, French Report »</w:t>
      </w:r>
      <w:r w:rsidRPr="00A761B4">
        <w:rPr>
          <w:rFonts w:ascii="Arial" w:hAnsi="Arial" w:cs="Arial"/>
          <w:color w:val="3E3B38"/>
          <w:sz w:val="20"/>
          <w:szCs w:val="20"/>
          <w:lang w:val="en-US"/>
        </w:rPr>
        <w:t>, in </w:t>
      </w:r>
      <w:r w:rsidRPr="00A761B4">
        <w:rPr>
          <w:rFonts w:ascii="Arial" w:hAnsi="Arial" w:cs="Arial"/>
          <w:i/>
          <w:iCs/>
          <w:color w:val="3E3B38"/>
          <w:sz w:val="20"/>
          <w:szCs w:val="20"/>
          <w:lang w:val="en-US"/>
        </w:rPr>
        <w:t xml:space="preserve">The Law of Obligations in Europe. </w:t>
      </w:r>
      <w:r w:rsidRPr="00A761B4">
        <w:rPr>
          <w:rFonts w:ascii="Arial" w:hAnsi="Arial" w:cs="Arial"/>
          <w:i/>
          <w:iCs/>
          <w:color w:val="3E3B38"/>
          <w:sz w:val="20"/>
          <w:szCs w:val="20"/>
        </w:rPr>
        <w:t xml:space="preserve">A New </w:t>
      </w:r>
      <w:proofErr w:type="spellStart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Wave</w:t>
      </w:r>
      <w:proofErr w:type="spellEnd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 xml:space="preserve"> of Codifications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, R. Schulze et F.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Zoll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(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ed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.), Sellier, 2013, p. 321 à 341.</w:t>
      </w:r>
    </w:p>
    <w:p w14:paraId="5C0E1387" w14:textId="77777777" w:rsidR="00A761B4" w:rsidRPr="00A761B4" w:rsidRDefault="00A761B4" w:rsidP="00273F1D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lastRenderedPageBreak/>
        <w:t>C. Aubert de Vincelles,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 Les caractères du droit commun européen de la vente »,</w:t>
      </w:r>
      <w:r w:rsidRPr="00A761B4">
        <w:rPr>
          <w:rFonts w:ascii="Arial" w:hAnsi="Arial" w:cs="Arial"/>
          <w:color w:val="3E3B38"/>
          <w:sz w:val="20"/>
          <w:szCs w:val="20"/>
        </w:rPr>
        <w:t> in </w:t>
      </w:r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Le droit commun européen de la vente, Examen de la proposition de règlement du 11 octobre 2011</w:t>
      </w:r>
      <w:r w:rsidRPr="00A761B4">
        <w:rPr>
          <w:rFonts w:ascii="Arial" w:hAnsi="Arial" w:cs="Arial"/>
          <w:color w:val="3E3B38"/>
          <w:sz w:val="20"/>
          <w:szCs w:val="20"/>
        </w:rPr>
        <w:t>, O. Deshayes (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.), Société de Législation comparée, coll. Trans Europe Experts, 2012, p. 23 à 39.</w:t>
      </w:r>
    </w:p>
    <w:p w14:paraId="2310124A" w14:textId="77777777" w:rsidR="00A761B4" w:rsidRPr="00A761B4" w:rsidRDefault="00A761B4" w:rsidP="00273F1D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C. Aubert de Vincelles, 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Porte-fort 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», Répertoire Civil Dalloz, août </w:t>
      </w:r>
      <w:proofErr w:type="gramStart"/>
      <w:r w:rsidRPr="00A761B4">
        <w:rPr>
          <w:rFonts w:ascii="Arial" w:hAnsi="Arial" w:cs="Arial"/>
          <w:color w:val="3E3B38"/>
          <w:sz w:val="20"/>
          <w:szCs w:val="20"/>
        </w:rPr>
        <w:t>2012  (</w:t>
      </w:r>
      <w:proofErr w:type="gramEnd"/>
      <w:r w:rsidRPr="00A761B4">
        <w:rPr>
          <w:rFonts w:ascii="Arial" w:hAnsi="Arial" w:cs="Arial"/>
          <w:color w:val="3E3B38"/>
          <w:sz w:val="20"/>
          <w:szCs w:val="20"/>
        </w:rPr>
        <w:t>réactualisation de sept. 2005)</w:t>
      </w:r>
    </w:p>
    <w:p w14:paraId="3A9A581B" w14:textId="77777777" w:rsidR="00A761B4" w:rsidRPr="00A761B4" w:rsidRDefault="00A761B4" w:rsidP="00273F1D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C. Aubert de Vincelles, O. Deshayes, A. Danis-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Fatome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et L.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Usunier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, 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Pour un instrument optionnel de droit des contrats limité aux ventes à distance transfrontalières conclues entre professionnels et consommateurs </w:t>
      </w:r>
      <w:r w:rsidRPr="00A761B4">
        <w:rPr>
          <w:rFonts w:ascii="Arial" w:hAnsi="Arial" w:cs="Arial"/>
          <w:color w:val="3E3B38"/>
          <w:sz w:val="20"/>
          <w:szCs w:val="20"/>
        </w:rPr>
        <w:t>», in </w:t>
      </w:r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Livre vert sur le droit européen des contrats. Réponses du réseau Trans Europe Experts, 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M.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Behar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-Touchais et M. Chagny (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), Société de Législation comparée, coll. Trans Europe Experts, 2011, p 43 à 93</w:t>
      </w:r>
    </w:p>
    <w:p w14:paraId="4E32D8A0" w14:textId="77777777" w:rsidR="00A761B4" w:rsidRPr="00A761B4" w:rsidRDefault="00A761B4" w:rsidP="00273F1D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C. Aubert de Vincelles, 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Les options « contraignantes » du Livre vert (options 5 à 7) </w:t>
      </w:r>
      <w:r w:rsidRPr="00A761B4">
        <w:rPr>
          <w:rFonts w:ascii="Arial" w:hAnsi="Arial" w:cs="Arial"/>
          <w:color w:val="3E3B38"/>
          <w:sz w:val="20"/>
          <w:szCs w:val="20"/>
        </w:rPr>
        <w:t>», in </w:t>
      </w:r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Le livre vert « relatif aux actions envisageables en vue de la création d’un droit européen des contrats pour les consommateurs et les entreprises », Contributions du LEJEP</w:t>
      </w:r>
      <w:r w:rsidRPr="00A761B4">
        <w:rPr>
          <w:rFonts w:ascii="Arial" w:hAnsi="Arial" w:cs="Arial"/>
          <w:color w:val="3E3B38"/>
          <w:sz w:val="20"/>
          <w:szCs w:val="20"/>
        </w:rPr>
        <w:t>, O. Deshayes (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),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ed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. Lextenso, 2011, p 115 à 124</w:t>
      </w:r>
    </w:p>
    <w:p w14:paraId="0FAD63A5" w14:textId="14290D10" w:rsidR="00A761B4" w:rsidRDefault="00A761B4" w:rsidP="00273F1D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  <w:lang w:val="en-US"/>
        </w:rPr>
      </w:pPr>
      <w:r w:rsidRPr="00A761B4">
        <w:rPr>
          <w:rFonts w:ascii="Arial" w:hAnsi="Arial" w:cs="Arial"/>
          <w:color w:val="3E3B38"/>
          <w:sz w:val="20"/>
          <w:szCs w:val="20"/>
          <w:lang w:val="en-US"/>
        </w:rPr>
        <w:t xml:space="preserve">C. Aubert de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  <w:lang w:val="en-US"/>
        </w:rPr>
        <w:t>Vincelles</w:t>
      </w:r>
      <w:proofErr w:type="spellEnd"/>
      <w:r w:rsidRPr="00A761B4">
        <w:rPr>
          <w:rFonts w:ascii="Arial" w:hAnsi="Arial" w:cs="Arial"/>
          <w:color w:val="3E3B38"/>
          <w:sz w:val="20"/>
          <w:szCs w:val="20"/>
          <w:lang w:val="en-US"/>
        </w:rPr>
        <w:t>, 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  <w:lang w:val="en-US"/>
        </w:rPr>
        <w:t>Linked contracts under French law</w:t>
      </w:r>
      <w:r w:rsidRPr="00A761B4">
        <w:rPr>
          <w:rFonts w:ascii="Arial" w:hAnsi="Arial" w:cs="Arial"/>
          <w:color w:val="3E3B38"/>
          <w:sz w:val="20"/>
          <w:szCs w:val="20"/>
          <w:lang w:val="en-US"/>
        </w:rPr>
        <w:t>», in </w:t>
      </w:r>
      <w:r w:rsidRPr="00A761B4">
        <w:rPr>
          <w:rFonts w:ascii="Arial" w:hAnsi="Arial" w:cs="Arial"/>
          <w:i/>
          <w:iCs/>
          <w:color w:val="3E3B38"/>
          <w:sz w:val="20"/>
          <w:szCs w:val="20"/>
          <w:lang w:val="en-US"/>
        </w:rPr>
        <w:t>Contractual Networks, Inter-Firm Cooperation and Economic Growth</w:t>
      </w:r>
      <w:r w:rsidRPr="00A761B4">
        <w:rPr>
          <w:rFonts w:ascii="Arial" w:hAnsi="Arial" w:cs="Arial"/>
          <w:color w:val="3E3B38"/>
          <w:sz w:val="20"/>
          <w:szCs w:val="20"/>
          <w:lang w:val="en-US"/>
        </w:rPr>
        <w:t xml:space="preserve">, F.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  <w:lang w:val="en-US"/>
        </w:rPr>
        <w:t>Cafaggi</w:t>
      </w:r>
      <w:proofErr w:type="spellEnd"/>
      <w:r w:rsidRPr="00A761B4">
        <w:rPr>
          <w:rFonts w:ascii="Arial" w:hAnsi="Arial" w:cs="Arial"/>
          <w:color w:val="3E3B38"/>
          <w:sz w:val="20"/>
          <w:szCs w:val="20"/>
          <w:lang w:val="en-US"/>
        </w:rPr>
        <w:t xml:space="preserve"> (ed.), Edward Elgar Publishing, 2011, p 163 à 178.</w:t>
      </w:r>
    </w:p>
    <w:p w14:paraId="61CD407E" w14:textId="77777777" w:rsidR="00A761B4" w:rsidRDefault="00A761B4" w:rsidP="00273F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  <w:lang w:val="en-US"/>
        </w:rPr>
      </w:pPr>
    </w:p>
    <w:p w14:paraId="09D46B8A" w14:textId="03940D42" w:rsidR="00A761B4" w:rsidRPr="00A761B4" w:rsidRDefault="00A761B4" w:rsidP="00273F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Articles :</w:t>
      </w:r>
    </w:p>
    <w:p w14:paraId="352E4242" w14:textId="77777777" w:rsidR="00A761B4" w:rsidRPr="00A761B4" w:rsidRDefault="00A761B4" w:rsidP="00273F1D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 Droit européen des contrats », Chronique annuelle, 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Contrats, conc. </w:t>
      </w:r>
      <w:proofErr w:type="spellStart"/>
      <w:proofErr w:type="gramStart"/>
      <w:r w:rsidRPr="00A761B4">
        <w:rPr>
          <w:rFonts w:ascii="Arial" w:hAnsi="Arial" w:cs="Arial"/>
          <w:color w:val="3E3B38"/>
          <w:sz w:val="20"/>
          <w:szCs w:val="20"/>
        </w:rPr>
        <w:t>consom</w:t>
      </w:r>
      <w:proofErr w:type="spellEnd"/>
      <w:proofErr w:type="gramEnd"/>
      <w:r w:rsidRPr="00A761B4">
        <w:rPr>
          <w:rFonts w:ascii="Arial" w:hAnsi="Arial" w:cs="Arial"/>
          <w:color w:val="3E3B38"/>
          <w:sz w:val="20"/>
          <w:szCs w:val="20"/>
        </w:rPr>
        <w:t xml:space="preserve">. 2018,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chron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. 2 (p. 12 à 26 ; 119.900 signes)</w:t>
      </w:r>
    </w:p>
    <w:p w14:paraId="4AB0AF80" w14:textId="77777777" w:rsidR="00A761B4" w:rsidRPr="00A761B4" w:rsidRDefault="00A761B4" w:rsidP="00273F1D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 Droit européen des contrats », Chronique annuelle, 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Contrats, conc. </w:t>
      </w:r>
      <w:proofErr w:type="spellStart"/>
      <w:proofErr w:type="gramStart"/>
      <w:r w:rsidRPr="00A761B4">
        <w:rPr>
          <w:rFonts w:ascii="Arial" w:hAnsi="Arial" w:cs="Arial"/>
          <w:color w:val="3E3B38"/>
          <w:sz w:val="20"/>
          <w:szCs w:val="20"/>
        </w:rPr>
        <w:t>consom</w:t>
      </w:r>
      <w:proofErr w:type="spellEnd"/>
      <w:proofErr w:type="gramEnd"/>
      <w:r w:rsidRPr="00A761B4">
        <w:rPr>
          <w:rFonts w:ascii="Arial" w:hAnsi="Arial" w:cs="Arial"/>
          <w:color w:val="3E3B38"/>
          <w:sz w:val="20"/>
          <w:szCs w:val="20"/>
        </w:rPr>
        <w:t xml:space="preserve">. 2017,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chron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. 3 (p. 11 à 22 ; 88.646 signes)</w:t>
      </w:r>
    </w:p>
    <w:p w14:paraId="77498CF3" w14:textId="77777777" w:rsidR="00A761B4" w:rsidRPr="00A761B4" w:rsidRDefault="00A761B4" w:rsidP="00273F1D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Le juge national face au droit européen de la consommation </w:t>
      </w:r>
      <w:r w:rsidRPr="00A761B4">
        <w:rPr>
          <w:rFonts w:ascii="Arial" w:hAnsi="Arial" w:cs="Arial"/>
          <w:color w:val="3E3B38"/>
          <w:sz w:val="20"/>
          <w:szCs w:val="20"/>
        </w:rPr>
        <w:t>», Revue justice actualité, juin 2017 n°17 (p. 12 à 19)</w:t>
      </w:r>
    </w:p>
    <w:p w14:paraId="5BB1431B" w14:textId="77777777" w:rsidR="00A761B4" w:rsidRPr="00A761B4" w:rsidRDefault="00A761B4" w:rsidP="00273F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 </w:t>
      </w:r>
    </w:p>
    <w:p w14:paraId="3A685453" w14:textId="77777777" w:rsidR="00A761B4" w:rsidRPr="00A761B4" w:rsidRDefault="00A761B4" w:rsidP="00273F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i/>
          <w:iCs/>
          <w:color w:val="3E3B38"/>
          <w:sz w:val="20"/>
          <w:szCs w:val="20"/>
        </w:rPr>
        <w:t>Chronique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 </w:t>
      </w:r>
      <w:r w:rsidRPr="00A761B4">
        <w:rPr>
          <w:rFonts w:ascii="Arial" w:hAnsi="Arial" w:cs="Arial"/>
          <w:b/>
          <w:bCs/>
          <w:i/>
          <w:iCs/>
          <w:color w:val="3E3B38"/>
          <w:sz w:val="20"/>
          <w:szCs w:val="20"/>
        </w:rPr>
        <w:t>de droit européen des obligations</w:t>
      </w:r>
      <w:r w:rsidRPr="00A761B4">
        <w:rPr>
          <w:rFonts w:ascii="Arial" w:hAnsi="Arial" w:cs="Arial"/>
          <w:color w:val="3E3B38"/>
          <w:sz w:val="20"/>
          <w:szCs w:val="20"/>
        </w:rPr>
        <w:t>, Revue Trimestrielle de Droit Européen</w:t>
      </w:r>
    </w:p>
    <w:p w14:paraId="4F77D51C" w14:textId="77777777" w:rsidR="00A761B4" w:rsidRPr="00A761B4" w:rsidRDefault="00A761B4" w:rsidP="00273F1D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 Protection des emprunteurs immobiliers »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, RTD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eur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2014, p. 715 à 724</w:t>
      </w:r>
    </w:p>
    <w:p w14:paraId="43376EA9" w14:textId="77777777" w:rsidR="00A761B4" w:rsidRPr="00A761B4" w:rsidRDefault="00A761B4" w:rsidP="00273F1D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 Régime européen des sanctions », 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RTD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eur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2014, p. 724 à 730</w:t>
      </w:r>
    </w:p>
    <w:p w14:paraId="409D1AEB" w14:textId="77777777" w:rsidR="00A761B4" w:rsidRPr="00A761B4" w:rsidRDefault="00A761B4" w:rsidP="00273F1D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 Pratiques commerciales déloyales »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, RTD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eur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2014, p. 730 à 735</w:t>
      </w:r>
    </w:p>
    <w:p w14:paraId="661E74D2" w14:textId="77777777" w:rsidR="00A761B4" w:rsidRPr="00A761B4" w:rsidRDefault="00A761B4" w:rsidP="00273F1D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proofErr w:type="gramStart"/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«Renforcement</w:t>
      </w:r>
      <w:proofErr w:type="gramEnd"/>
      <w:r w:rsidRPr="00A761B4">
        <w:rPr>
          <w:rFonts w:ascii="Arial" w:hAnsi="Arial" w:cs="Arial"/>
          <w:b/>
          <w:bCs/>
          <w:color w:val="3E3B38"/>
          <w:sz w:val="20"/>
          <w:szCs w:val="20"/>
        </w:rPr>
        <w:t xml:space="preserve"> de la protection des consommateurs en matière contractuelle</w:t>
      </w:r>
      <w:r w:rsidRPr="00A761B4">
        <w:rPr>
          <w:rFonts w:ascii="Arial" w:hAnsi="Arial" w:cs="Arial"/>
          <w:color w:val="3E3B38"/>
          <w:sz w:val="20"/>
          <w:szCs w:val="20"/>
        </w:rPr>
        <w:t>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», 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RTD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eur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2013, p. 559 à 569</w:t>
      </w:r>
    </w:p>
    <w:p w14:paraId="3974991F" w14:textId="77777777" w:rsidR="00A761B4" w:rsidRPr="00A761B4" w:rsidRDefault="00A761B4" w:rsidP="00273F1D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 xml:space="preserve">« Limites de la protection des consommateurs par l'harmonisation totale des pratiques commerciales </w:t>
      </w:r>
      <w:proofErr w:type="gramStart"/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déloyales»</w:t>
      </w:r>
      <w:proofErr w:type="gramEnd"/>
      <w:r w:rsidRPr="00A761B4">
        <w:rPr>
          <w:rFonts w:ascii="Arial" w:hAnsi="Arial" w:cs="Arial"/>
          <w:color w:val="3E3B38"/>
          <w:sz w:val="20"/>
          <w:szCs w:val="20"/>
        </w:rPr>
        <w:t xml:space="preserve">, RTD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eur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2013, p. 570 à 574</w:t>
      </w:r>
    </w:p>
    <w:p w14:paraId="49230544" w14:textId="77777777" w:rsidR="00A761B4" w:rsidRPr="00A761B4" w:rsidRDefault="00A761B4" w:rsidP="00273F1D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 Protection des consommateurs dans les litiges de consommation</w:t>
      </w:r>
      <w:r w:rsidRPr="00A761B4">
        <w:rPr>
          <w:rFonts w:ascii="Arial" w:hAnsi="Arial" w:cs="Arial"/>
          <w:color w:val="3E3B38"/>
          <w:sz w:val="20"/>
          <w:szCs w:val="20"/>
        </w:rPr>
        <w:t>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», 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RTD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eur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2013, p. 575 à 580</w:t>
      </w:r>
    </w:p>
    <w:p w14:paraId="5F8DD4B9" w14:textId="77777777" w:rsidR="00A761B4" w:rsidRPr="00A761B4" w:rsidRDefault="00A761B4" w:rsidP="00273F1D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 Législation en cours</w:t>
      </w:r>
      <w:r w:rsidRPr="00A761B4">
        <w:rPr>
          <w:rFonts w:ascii="Arial" w:hAnsi="Arial" w:cs="Arial"/>
          <w:color w:val="3E3B38"/>
          <w:sz w:val="20"/>
          <w:szCs w:val="20"/>
        </w:rPr>
        <w:t>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», 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RTD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eur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2013, p. 580 à 583</w:t>
      </w:r>
    </w:p>
    <w:p w14:paraId="5F26A0EF" w14:textId="77777777" w:rsidR="00A761B4" w:rsidRPr="00A761B4" w:rsidRDefault="00A761B4" w:rsidP="00273F1D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 Naissance d’un droit commun européen des contrats »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, RTD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eur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2012, p 661 à 666</w:t>
      </w:r>
    </w:p>
    <w:p w14:paraId="67F8E7F5" w14:textId="77777777" w:rsidR="00A761B4" w:rsidRPr="00A761B4" w:rsidRDefault="00A761B4" w:rsidP="00273F1D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 Une protection des consommateurs renforcée par la Cour de justice »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, RTD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eur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2012, p 666 à 679</w:t>
      </w:r>
    </w:p>
    <w:p w14:paraId="52E79ADD" w14:textId="77777777" w:rsidR="00A761B4" w:rsidRPr="00A761B4" w:rsidRDefault="00A761B4" w:rsidP="00273F1D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 Une protection des consommateurs limitée par les objectifs économiques de l’harmonisation »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, RTD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eur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2012, p 679 à 683</w:t>
      </w:r>
    </w:p>
    <w:p w14:paraId="1A2CE99A" w14:textId="77777777" w:rsidR="00A761B4" w:rsidRPr="00A761B4" w:rsidRDefault="00A761B4" w:rsidP="00273F1D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 Réponses au Livre vert sur le droit européen des contrats »,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 RTD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eur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2011, p 615 à 621</w:t>
      </w:r>
    </w:p>
    <w:p w14:paraId="480A8034" w14:textId="77777777" w:rsidR="00A761B4" w:rsidRPr="00A761B4" w:rsidRDefault="00A761B4" w:rsidP="00273F1D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 Double harmonisation du droit européen des contrats : instrument optionnel et directive cadre »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, RTD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eur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2011, p 621 à 630</w:t>
      </w:r>
    </w:p>
    <w:p w14:paraId="55E51AC3" w14:textId="77777777" w:rsidR="00A761B4" w:rsidRPr="00A761B4" w:rsidRDefault="00A761B4" w:rsidP="00273F1D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 Leçons jurisprudentielles sur l’harmonisation totale à travers les pratiques commerciales déloyales »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, RTD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eur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2011, p 630 à 632</w:t>
      </w:r>
    </w:p>
    <w:p w14:paraId="51409CCE" w14:textId="1A2FFF5D" w:rsidR="00A761B4" w:rsidRDefault="00A761B4" w:rsidP="00273F1D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lastRenderedPageBreak/>
        <w:t>« La Cour de justice, gardienne de la protection des consommateurs »,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 RTD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eur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2011, p 632 à 635 </w:t>
      </w:r>
    </w:p>
    <w:p w14:paraId="3E64413E" w14:textId="77777777" w:rsidR="00A761B4" w:rsidRPr="00A761B4" w:rsidRDefault="00A761B4" w:rsidP="00273F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36CC6F3E" w14:textId="77777777" w:rsidR="00A761B4" w:rsidRPr="00A761B4" w:rsidRDefault="00A761B4" w:rsidP="00273F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i/>
          <w:iCs/>
          <w:color w:val="3E3B38"/>
          <w:sz w:val="20"/>
          <w:szCs w:val="20"/>
        </w:rPr>
        <w:t>Chronique</w:t>
      </w:r>
      <w:r w:rsidRPr="00A761B4">
        <w:rPr>
          <w:rFonts w:ascii="Arial" w:hAnsi="Arial" w:cs="Arial"/>
          <w:color w:val="3E3B38"/>
          <w:sz w:val="20"/>
          <w:szCs w:val="20"/>
        </w:rPr>
        <w:t>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de droit de la consommation</w:t>
      </w:r>
      <w:r w:rsidRPr="00A761B4">
        <w:rPr>
          <w:rFonts w:ascii="Arial" w:hAnsi="Arial" w:cs="Arial"/>
          <w:color w:val="3E3B38"/>
          <w:sz w:val="20"/>
          <w:szCs w:val="20"/>
        </w:rPr>
        <w:t>, Revue des Contrats</w:t>
      </w:r>
    </w:p>
    <w:p w14:paraId="5BD46048" w14:textId="77777777" w:rsidR="00A761B4" w:rsidRPr="00A761B4" w:rsidRDefault="00A761B4" w:rsidP="00273F1D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"La mise en conformité du code de la consommation au droit européen par la loi n°2014-344 du 17 mars 2014 relative à la consommation</w:t>
      </w:r>
      <w:r w:rsidRPr="00A761B4">
        <w:rPr>
          <w:rFonts w:ascii="Arial" w:hAnsi="Arial" w:cs="Arial"/>
          <w:color w:val="3E3B38"/>
          <w:sz w:val="20"/>
          <w:szCs w:val="20"/>
        </w:rPr>
        <w:t>", RDC 2014, p. 456 à 471</w:t>
      </w:r>
    </w:p>
    <w:p w14:paraId="7D7EA449" w14:textId="77777777" w:rsidR="00A761B4" w:rsidRPr="00A761B4" w:rsidRDefault="00A761B4" w:rsidP="00273F1D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 L'office du juge toujours renforcé : nouvelle illustration en matière de sanctions dans la vente</w:t>
      </w:r>
      <w:r w:rsidRPr="00A761B4">
        <w:rPr>
          <w:rFonts w:ascii="Arial" w:hAnsi="Arial" w:cs="Arial"/>
          <w:color w:val="3E3B38"/>
          <w:sz w:val="20"/>
          <w:szCs w:val="20"/>
        </w:rPr>
        <w:t>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» 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: CJUE 3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oct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2013, C-32/12, Duarte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Hueros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, RDC 2014, p. 93 à 97</w:t>
      </w:r>
    </w:p>
    <w:p w14:paraId="7E718791" w14:textId="77777777" w:rsidR="00A761B4" w:rsidRPr="00A761B4" w:rsidRDefault="00A761B4" w:rsidP="00273F1D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 Interprétation sécuritaire des pratiques commerciales déloyales issues de l’annexe » : 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CJUE, 18 oct. 2012,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aff.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C-428/11,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Purely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Creative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e.a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, RDC 2013, p. 605 à 611</w:t>
      </w:r>
    </w:p>
    <w:p w14:paraId="646ABA0A" w14:textId="77777777" w:rsidR="00A761B4" w:rsidRPr="00A761B4" w:rsidRDefault="00A761B4" w:rsidP="00273F1D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 Naissance d’un droit commun européen de la vente et des contrats » : </w:t>
      </w:r>
      <w:r w:rsidRPr="00A761B4">
        <w:rPr>
          <w:rFonts w:ascii="Arial" w:hAnsi="Arial" w:cs="Arial"/>
          <w:color w:val="3E3B38"/>
          <w:sz w:val="20"/>
          <w:szCs w:val="20"/>
        </w:rPr>
        <w:t>proposition de règlement relatif à un droit commun européen de la vente du 11 octobre 2011, RDC 2012 p. 457 à 465</w:t>
      </w:r>
    </w:p>
    <w:p w14:paraId="6D6FEEEB" w14:textId="77777777" w:rsidR="00A761B4" w:rsidRPr="00A761B4" w:rsidRDefault="00A761B4" w:rsidP="00273F1D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 Promotion et harmonisation des modes alternatifs de règlement des litiges de consommation » : </w:t>
      </w:r>
      <w:r w:rsidRPr="00A761B4">
        <w:rPr>
          <w:rFonts w:ascii="Arial" w:hAnsi="Arial" w:cs="Arial"/>
          <w:color w:val="3E3B38"/>
          <w:sz w:val="20"/>
          <w:szCs w:val="20"/>
        </w:rPr>
        <w:t>propositions de directive « relative au règlement extrajudiciaire des litiges de consommation » et de règlement « relatif au règlement en ligne des litiges de consommation (RLLC) » du 29 novembre 2011, RDC 2012 p 465 à 473</w:t>
      </w:r>
    </w:p>
    <w:p w14:paraId="7A2D8CAD" w14:textId="77777777" w:rsidR="00A761B4" w:rsidRPr="00A761B4" w:rsidRDefault="00A761B4" w:rsidP="00273F1D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 xml:space="preserve">« Adoption, enfin, de la directive sur </w:t>
      </w:r>
      <w:proofErr w:type="gramStart"/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les droit</w:t>
      </w:r>
      <w:proofErr w:type="gramEnd"/>
      <w:r w:rsidRPr="00A761B4">
        <w:rPr>
          <w:rFonts w:ascii="Arial" w:hAnsi="Arial" w:cs="Arial"/>
          <w:b/>
          <w:bCs/>
          <w:color w:val="3E3B38"/>
          <w:sz w:val="20"/>
          <w:szCs w:val="20"/>
        </w:rPr>
        <w:t xml:space="preserve"> des consommateurs ! », </w:t>
      </w:r>
      <w:r w:rsidRPr="00A761B4">
        <w:rPr>
          <w:rFonts w:ascii="Arial" w:hAnsi="Arial" w:cs="Arial"/>
          <w:color w:val="3E3B38"/>
          <w:sz w:val="20"/>
          <w:szCs w:val="20"/>
        </w:rPr>
        <w:t>RDC 2011/4 p 1224 à 1233</w:t>
      </w:r>
    </w:p>
    <w:p w14:paraId="407ACAD9" w14:textId="77777777" w:rsidR="00A761B4" w:rsidRPr="00A761B4" w:rsidRDefault="00A761B4" w:rsidP="00273F1D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 Charge des frais liés au remplacement d’un bien vendu non conforme » : </w:t>
      </w:r>
      <w:r w:rsidRPr="00A761B4">
        <w:rPr>
          <w:rFonts w:ascii="Arial" w:hAnsi="Arial" w:cs="Arial"/>
          <w:color w:val="3E3B38"/>
          <w:sz w:val="20"/>
          <w:szCs w:val="20"/>
        </w:rPr>
        <w:t>CJUE, 16 juin 2011, C-65/09 et C-87/09, </w:t>
      </w:r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Weber </w:t>
      </w:r>
      <w:r w:rsidRPr="00A761B4">
        <w:rPr>
          <w:rFonts w:ascii="Arial" w:hAnsi="Arial" w:cs="Arial"/>
          <w:color w:val="3E3B38"/>
          <w:sz w:val="20"/>
          <w:szCs w:val="20"/>
        </w:rPr>
        <w:t>et</w:t>
      </w:r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 </w:t>
      </w:r>
      <w:proofErr w:type="spellStart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Putz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, RDC 2011 p 1233 à 1242</w:t>
      </w:r>
    </w:p>
    <w:p w14:paraId="41C4C65E" w14:textId="2727B2AE" w:rsidR="00A761B4" w:rsidRDefault="00A761B4" w:rsidP="00273F1D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 xml:space="preserve">« Compétence internationale en matière de cyberconsommation : précisions sur la notion </w:t>
      </w:r>
      <w:proofErr w:type="gramStart"/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d’ ‘</w:t>
      </w:r>
      <w:proofErr w:type="gramEnd"/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activité dirigée’ » </w:t>
      </w:r>
      <w:r w:rsidRPr="00A761B4">
        <w:rPr>
          <w:rFonts w:ascii="Arial" w:hAnsi="Arial" w:cs="Arial"/>
          <w:color w:val="3E3B38"/>
          <w:sz w:val="20"/>
          <w:szCs w:val="20"/>
        </w:rPr>
        <w:t>: CJUE, gde chbre, 7 déc. 2010, C-585/08 et C-144/09, </w:t>
      </w:r>
      <w:r w:rsidRPr="00A761B4">
        <w:rPr>
          <w:rFonts w:ascii="Arial" w:hAnsi="Arial" w:cs="Arial"/>
          <w:i/>
          <w:iCs/>
          <w:color w:val="3E3B38"/>
          <w:sz w:val="20"/>
          <w:szCs w:val="20"/>
        </w:rPr>
        <w:t xml:space="preserve">Peter </w:t>
      </w:r>
      <w:proofErr w:type="spellStart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Pammer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, RDC 2011 p 511 à 517</w:t>
      </w:r>
    </w:p>
    <w:p w14:paraId="38FE77CE" w14:textId="77777777" w:rsidR="00A761B4" w:rsidRPr="00A761B4" w:rsidRDefault="00A761B4" w:rsidP="00273F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34FACE54" w14:textId="77777777" w:rsidR="00A761B4" w:rsidRPr="00A761B4" w:rsidRDefault="00A761B4" w:rsidP="00273F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i/>
          <w:iCs/>
          <w:color w:val="3E3B38"/>
          <w:sz w:val="20"/>
          <w:szCs w:val="20"/>
        </w:rPr>
        <w:t>Autres articles :</w:t>
      </w:r>
    </w:p>
    <w:p w14:paraId="14CA3F9D" w14:textId="77777777" w:rsidR="00A761B4" w:rsidRPr="00A761B4" w:rsidRDefault="00A761B4" w:rsidP="00273F1D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  <w:lang w:val="en-US"/>
        </w:rPr>
      </w:pPr>
      <w:r w:rsidRPr="00A761B4">
        <w:rPr>
          <w:rFonts w:ascii="Arial" w:hAnsi="Arial" w:cs="Arial"/>
          <w:color w:val="3E3B38"/>
          <w:sz w:val="20"/>
          <w:szCs w:val="20"/>
          <w:lang w:val="en-US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  <w:lang w:val="en-US"/>
        </w:rPr>
        <w:t>Consumer Sales in the Law of EU-Member States – French Report </w:t>
      </w:r>
      <w:r w:rsidRPr="00A761B4">
        <w:rPr>
          <w:rFonts w:ascii="Arial" w:hAnsi="Arial" w:cs="Arial"/>
          <w:color w:val="3E3B38"/>
          <w:sz w:val="20"/>
          <w:szCs w:val="20"/>
          <w:lang w:val="en-US"/>
        </w:rPr>
        <w:t xml:space="preserve">», in A. De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  <w:lang w:val="en-US"/>
        </w:rPr>
        <w:t>Franceschi</w:t>
      </w:r>
      <w:proofErr w:type="spellEnd"/>
      <w:r w:rsidRPr="00A761B4">
        <w:rPr>
          <w:rFonts w:ascii="Arial" w:hAnsi="Arial" w:cs="Arial"/>
          <w:color w:val="3E3B38"/>
          <w:sz w:val="20"/>
          <w:szCs w:val="20"/>
          <w:lang w:val="en-US"/>
        </w:rPr>
        <w:t xml:space="preserve"> (eds.), Consumer Sales in the Law of EU-Member States,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  <w:lang w:val="en-US"/>
        </w:rPr>
        <w:t>Intersentia</w:t>
      </w:r>
      <w:proofErr w:type="spellEnd"/>
      <w:r w:rsidRPr="00A761B4">
        <w:rPr>
          <w:rFonts w:ascii="Arial" w:hAnsi="Arial" w:cs="Arial"/>
          <w:color w:val="3E3B38"/>
          <w:sz w:val="20"/>
          <w:szCs w:val="20"/>
          <w:lang w:val="en-US"/>
        </w:rPr>
        <w:t xml:space="preserve">, 2015 (à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  <w:lang w:val="en-US"/>
        </w:rPr>
        <w:t>paraître</w:t>
      </w:r>
      <w:proofErr w:type="spellEnd"/>
      <w:r w:rsidRPr="00A761B4">
        <w:rPr>
          <w:rFonts w:ascii="Arial" w:hAnsi="Arial" w:cs="Arial"/>
          <w:color w:val="3E3B38"/>
          <w:sz w:val="20"/>
          <w:szCs w:val="20"/>
          <w:lang w:val="en-US"/>
        </w:rPr>
        <w:t>)</w:t>
      </w:r>
    </w:p>
    <w:p w14:paraId="2DF72E5F" w14:textId="77777777" w:rsidR="00A761B4" w:rsidRPr="00A761B4" w:rsidRDefault="00A761B4" w:rsidP="00273F1D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Rapport de synthèse </w:t>
      </w:r>
      <w:r w:rsidRPr="00A761B4">
        <w:rPr>
          <w:rFonts w:ascii="Arial" w:hAnsi="Arial" w:cs="Arial"/>
          <w:color w:val="3E3B38"/>
          <w:sz w:val="20"/>
          <w:szCs w:val="20"/>
        </w:rPr>
        <w:t>», colloque « Consommation collaborative : quels enjeux et quelles limites pour les consommateurs ? », organisé par l’INC au ministère de l’économie, le 7 novembre 2014, publication sur le site web de l’INC : http://www.conso.net/page/bases.1_actualites.6_dossier_d_actualite.80_consommation_collaborative./Item-itm_ccc_admin_20141209094818_094818_Consommationcollaborative.txt</w:t>
      </w:r>
    </w:p>
    <w:p w14:paraId="7EBABF29" w14:textId="77777777" w:rsidR="00A761B4" w:rsidRPr="00A761B4" w:rsidRDefault="00A761B4" w:rsidP="00273F1D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Loi du 17 mars 2014 : nouvelles mesures protectrices du consommateur 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»,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co-rédigé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avec N.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Sauphanor-Brouillaud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, D. 2014, p. 879 à 889</w:t>
      </w:r>
    </w:p>
    <w:p w14:paraId="5D448121" w14:textId="77777777" w:rsidR="00A761B4" w:rsidRPr="00A761B4" w:rsidRDefault="00A761B4" w:rsidP="00273F1D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Vente d’ordinateurs équipés de logiciels préinstallés : nouvelle occasion manquée de clarification </w:t>
      </w:r>
      <w:r w:rsidRPr="00A761B4">
        <w:rPr>
          <w:rFonts w:ascii="Arial" w:hAnsi="Arial" w:cs="Arial"/>
          <w:color w:val="3E3B38"/>
          <w:sz w:val="20"/>
          <w:szCs w:val="20"/>
        </w:rPr>
        <w:t>», JCP 2014, 427 (p. 678 à 681)</w:t>
      </w:r>
    </w:p>
    <w:p w14:paraId="281AA4EF" w14:textId="77777777" w:rsidR="00A761B4" w:rsidRPr="00A761B4" w:rsidRDefault="00A761B4" w:rsidP="00273F1D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"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L'action de groupe en France : l'enjeu en termes de risques opérationnels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", table ronde avec Dan Chelly, Revue internationale de la compliance et de l'éthique des affaires, sup. JCP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ed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. E, n°14 du 3 avril 2014, p. 7 à 10</w:t>
      </w:r>
    </w:p>
    <w:p w14:paraId="2136256A" w14:textId="77777777" w:rsidR="00A761B4" w:rsidRPr="00A761B4" w:rsidRDefault="00A761B4" w:rsidP="00273F1D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Le Code de la consommation : consécration d’un droit autonome et perspectives d’évolution </w:t>
      </w:r>
      <w:r w:rsidRPr="00A761B4">
        <w:rPr>
          <w:rFonts w:ascii="Arial" w:hAnsi="Arial" w:cs="Arial"/>
          <w:color w:val="3E3B38"/>
          <w:sz w:val="20"/>
          <w:szCs w:val="20"/>
        </w:rPr>
        <w:t>», in Les 20 ans du code de la consommation, Revue concurrence et consommation, DGCCRF, n°174, Janv. 2014, p. 10 à 13 (Extraits de l’intervention)</w:t>
      </w:r>
    </w:p>
    <w:p w14:paraId="35461D03" w14:textId="77777777" w:rsidR="00A761B4" w:rsidRPr="00A761B4" w:rsidRDefault="00A761B4" w:rsidP="00273F1D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Le Code de la consommation à l’épreuve de nouvelles notions. L’exemple des pratiques déloyales 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», in C. Aubert de Vincelles et N.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Sauphanor-Brouillaud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(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.), </w:t>
      </w:r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Les 20 ans du Code de la consommation. Nouveaux enjeux</w:t>
      </w:r>
      <w:r w:rsidRPr="00A761B4">
        <w:rPr>
          <w:rFonts w:ascii="Arial" w:hAnsi="Arial" w:cs="Arial"/>
          <w:color w:val="3E3B38"/>
          <w:sz w:val="20"/>
          <w:szCs w:val="20"/>
        </w:rPr>
        <w:t>, Lextenso, coll. LEJEP, 2013, p 19 à 38</w:t>
      </w:r>
    </w:p>
    <w:p w14:paraId="5DD3DD32" w14:textId="77777777" w:rsidR="00A761B4" w:rsidRPr="00A761B4" w:rsidRDefault="00A761B4" w:rsidP="00273F1D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lastRenderedPageBreak/>
        <w:t>« Une refonte du Code de la consommation s’impose</w:t>
      </w:r>
      <w:r w:rsidRPr="00A761B4">
        <w:rPr>
          <w:rFonts w:ascii="Arial" w:hAnsi="Arial" w:cs="Arial"/>
          <w:color w:val="3E3B38"/>
          <w:sz w:val="20"/>
          <w:szCs w:val="20"/>
        </w:rPr>
        <w:t>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»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, Entretien C. Aubert de Vincelles et N.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Sauphanor-Brouillaud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, JCP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ed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. G 2013, p. 1316</w:t>
      </w:r>
    </w:p>
    <w:p w14:paraId="23D9B097" w14:textId="77777777" w:rsidR="00A761B4" w:rsidRPr="00A761B4" w:rsidRDefault="00A761B4" w:rsidP="00273F1D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i/>
          <w:iCs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Acquis européen, cadre commun de référence et proposition de directive européenne relative au droit des consommateurs : quelle place pour les contrats spéciaux ? »</w:t>
      </w:r>
      <w:r w:rsidRPr="00A761B4">
        <w:rPr>
          <w:rFonts w:ascii="Arial" w:hAnsi="Arial" w:cs="Arial"/>
          <w:color w:val="3E3B38"/>
          <w:sz w:val="20"/>
          <w:szCs w:val="20"/>
        </w:rPr>
        <w:t>, in </w:t>
      </w:r>
      <w:r w:rsidRPr="00A761B4">
        <w:rPr>
          <w:rFonts w:ascii="Arial" w:hAnsi="Arial" w:cs="Arial"/>
          <w:i/>
          <w:iCs/>
          <w:color w:val="3E3B38"/>
          <w:sz w:val="20"/>
          <w:szCs w:val="20"/>
        </w:rPr>
        <w:t xml:space="preserve">Vers un droit européen des contrats spéciaux, </w:t>
      </w:r>
      <w:proofErr w:type="spellStart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Towards</w:t>
      </w:r>
      <w:proofErr w:type="spellEnd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 xml:space="preserve"> a </w:t>
      </w:r>
      <w:proofErr w:type="spellStart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European</w:t>
      </w:r>
      <w:proofErr w:type="spellEnd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 xml:space="preserve"> Law of </w:t>
      </w:r>
      <w:proofErr w:type="spellStart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Specific</w:t>
      </w:r>
      <w:proofErr w:type="spellEnd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 xml:space="preserve"> </w:t>
      </w:r>
      <w:proofErr w:type="spellStart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Contracts</w:t>
      </w:r>
      <w:proofErr w:type="spellEnd"/>
      <w:r w:rsidRPr="00A761B4">
        <w:rPr>
          <w:rFonts w:ascii="Arial" w:hAnsi="Arial" w:cs="Arial"/>
          <w:i/>
          <w:iCs/>
          <w:color w:val="3E3B38"/>
          <w:sz w:val="20"/>
          <w:szCs w:val="20"/>
        </w:rPr>
        <w:t>,</w:t>
      </w:r>
      <w:r w:rsidRPr="00A761B4">
        <w:rPr>
          <w:rFonts w:ascii="Arial" w:hAnsi="Arial" w:cs="Arial"/>
          <w:color w:val="3E3B38"/>
          <w:sz w:val="20"/>
          <w:szCs w:val="20"/>
        </w:rPr>
        <w:t> 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Voinot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et J. Sénéchal (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.), Editions Larcier, Bruxelles, coll. Code économique européen, 2012, p 53 à 70</w:t>
      </w:r>
    </w:p>
    <w:p w14:paraId="71585A22" w14:textId="77777777" w:rsidR="00A761B4" w:rsidRPr="00A761B4" w:rsidRDefault="00A761B4" w:rsidP="00273F1D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Premier regard sur la proposition d’un droit commun européen de la vente »</w:t>
      </w:r>
      <w:r w:rsidRPr="00A761B4">
        <w:rPr>
          <w:rFonts w:ascii="Arial" w:hAnsi="Arial" w:cs="Arial"/>
          <w:color w:val="3E3B38"/>
          <w:sz w:val="20"/>
          <w:szCs w:val="20"/>
        </w:rPr>
        <w:t>, JCP 2011, 1376 (p 2456 à 2460)</w:t>
      </w:r>
    </w:p>
    <w:p w14:paraId="6586BCEA" w14:textId="77777777" w:rsidR="00A761B4" w:rsidRPr="00A761B4" w:rsidRDefault="00A761B4" w:rsidP="00273F1D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  <w:lang w:val="en-US"/>
        </w:rPr>
        <w:t>Book Review</w:t>
      </w:r>
      <w:r w:rsidRPr="00A761B4">
        <w:rPr>
          <w:rFonts w:ascii="Arial" w:hAnsi="Arial" w:cs="Arial"/>
          <w:i/>
          <w:iCs/>
          <w:color w:val="3E3B38"/>
          <w:sz w:val="20"/>
          <w:szCs w:val="20"/>
          <w:lang w:val="en-US"/>
        </w:rPr>
        <w:t>: Perspectives for European Consumer Law, Towards a Directive on Consumer Rights and Beyond</w:t>
      </w:r>
      <w:r w:rsidRPr="00A761B4">
        <w:rPr>
          <w:rFonts w:ascii="Arial" w:hAnsi="Arial" w:cs="Arial"/>
          <w:color w:val="3E3B38"/>
          <w:sz w:val="20"/>
          <w:szCs w:val="20"/>
          <w:lang w:val="en-US"/>
        </w:rPr>
        <w:t>, H. Schulte-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  <w:lang w:val="en-US"/>
        </w:rPr>
        <w:t>Nölke</w:t>
      </w:r>
      <w:proofErr w:type="spellEnd"/>
      <w:r w:rsidRPr="00A761B4">
        <w:rPr>
          <w:rFonts w:ascii="Arial" w:hAnsi="Arial" w:cs="Arial"/>
          <w:color w:val="3E3B38"/>
          <w:sz w:val="20"/>
          <w:szCs w:val="20"/>
          <w:lang w:val="en-US"/>
        </w:rPr>
        <w:t xml:space="preserve"> and L.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  <w:lang w:val="en-US"/>
        </w:rPr>
        <w:t>Tichy</w:t>
      </w:r>
      <w:proofErr w:type="spellEnd"/>
      <w:r w:rsidRPr="00A761B4">
        <w:rPr>
          <w:rFonts w:ascii="Arial" w:hAnsi="Arial" w:cs="Arial"/>
          <w:color w:val="3E3B38"/>
          <w:sz w:val="20"/>
          <w:szCs w:val="20"/>
          <w:lang w:val="en-US"/>
        </w:rPr>
        <w:t xml:space="preserve">, ed. 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Sellier, </w:t>
      </w:r>
      <w:proofErr w:type="gramStart"/>
      <w:r w:rsidRPr="00A761B4">
        <w:rPr>
          <w:rFonts w:ascii="Arial" w:hAnsi="Arial" w:cs="Arial"/>
          <w:color w:val="3E3B38"/>
          <w:sz w:val="20"/>
          <w:szCs w:val="20"/>
        </w:rPr>
        <w:t>2010 :</w:t>
      </w:r>
      <w:proofErr w:type="gramEnd"/>
      <w:r w:rsidRPr="00A761B4">
        <w:rPr>
          <w:rFonts w:ascii="Arial" w:hAnsi="Arial" w:cs="Arial"/>
          <w:color w:val="3E3B38"/>
          <w:sz w:val="20"/>
          <w:szCs w:val="20"/>
        </w:rPr>
        <w:t xml:space="preserve"> ERCL 2011 p 567 à 572</w:t>
      </w:r>
    </w:p>
    <w:p w14:paraId="7D0A52DE" w14:textId="1546F554" w:rsidR="00A761B4" w:rsidRDefault="00A761B4" w:rsidP="00273F1D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Les ensembles contractuels : la cause encore et toujours »</w:t>
      </w:r>
      <w:r w:rsidRPr="00A761B4">
        <w:rPr>
          <w:rFonts w:ascii="Arial" w:hAnsi="Arial" w:cs="Arial"/>
          <w:color w:val="3E3B38"/>
          <w:sz w:val="20"/>
          <w:szCs w:val="20"/>
        </w:rPr>
        <w:t>, note sous Cour de cassation, 1</w:t>
      </w:r>
      <w:r w:rsidRPr="00A761B4">
        <w:rPr>
          <w:rFonts w:ascii="Arial" w:hAnsi="Arial" w:cs="Arial"/>
          <w:color w:val="3E3B38"/>
          <w:sz w:val="20"/>
          <w:szCs w:val="20"/>
          <w:vertAlign w:val="superscript"/>
        </w:rPr>
        <w:t>ère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 chambre civile, 28 octobre 2010, JCP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ed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. G 2011, 303 </w:t>
      </w:r>
    </w:p>
    <w:p w14:paraId="5E3E42AC" w14:textId="77777777" w:rsidR="00A761B4" w:rsidRPr="00A761B4" w:rsidRDefault="00A761B4" w:rsidP="00273F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101A0424" w14:textId="77777777" w:rsidR="00A761B4" w:rsidRPr="00A761B4" w:rsidRDefault="00A761B4" w:rsidP="00273F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Conférences, colloques</w:t>
      </w:r>
    </w:p>
    <w:p w14:paraId="511D855C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 xml:space="preserve">La protection des consommateurs dans le commerce en </w:t>
      </w:r>
      <w:proofErr w:type="gramStart"/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ligne</w:t>
      </w:r>
      <w:r w:rsidRPr="00A761B4">
        <w:rPr>
          <w:rFonts w:ascii="Arial" w:hAnsi="Arial" w:cs="Arial"/>
          <w:color w:val="3E3B38"/>
          <w:sz w:val="20"/>
          <w:szCs w:val="20"/>
        </w:rPr>
        <w:t>»</w:t>
      </w:r>
      <w:proofErr w:type="gramEnd"/>
      <w:r w:rsidRPr="00A761B4">
        <w:rPr>
          <w:rFonts w:ascii="Arial" w:hAnsi="Arial" w:cs="Arial"/>
          <w:color w:val="3E3B38"/>
          <w:sz w:val="20"/>
          <w:szCs w:val="20"/>
        </w:rPr>
        <w:t xml:space="preserve">, colloque organisé par le Ministère de la Justice sur « Le droit européen au cœur du quotidien », en la présence de Mme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Belloubet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, Ministre de la justice et garde des sceaux et Mme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Barley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, ministre fédérale allemande de la Justice et de la protection des consommateurs, Paris, 29 octobre 2018</w:t>
      </w:r>
    </w:p>
    <w:p w14:paraId="749201AC" w14:textId="0D2851ED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Le juge face au droit européen de la consommation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 », conférence à l’ENM, Paris 22 mai 2018</w:t>
      </w:r>
    </w:p>
    <w:p w14:paraId="205708DD" w14:textId="705E582E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Le médiateur face à la protection des consommateurs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 », conférence auprès de la Fédération des Centres de médiations du Grand ouest, Rennes, 16 mars 2018</w:t>
      </w:r>
    </w:p>
    <w:p w14:paraId="45FBD6FC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 Droit de la consommation et médiation »</w:t>
      </w:r>
      <w:r w:rsidRPr="00A761B4">
        <w:rPr>
          <w:rFonts w:ascii="Arial" w:hAnsi="Arial" w:cs="Arial"/>
          <w:color w:val="3E3B38"/>
          <w:sz w:val="20"/>
          <w:szCs w:val="20"/>
        </w:rPr>
        <w:t>, conférence auprès de la Fédération nationale de la médiation et des espaces familiaux (FENAMEF), Paris, 5 décembre 2017</w:t>
      </w:r>
    </w:p>
    <w:p w14:paraId="69734D13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Vers un droit européen des contrats ? </w:t>
      </w:r>
      <w:r w:rsidRPr="00A761B4">
        <w:rPr>
          <w:rFonts w:ascii="Arial" w:hAnsi="Arial" w:cs="Arial"/>
          <w:color w:val="3E3B38"/>
          <w:sz w:val="20"/>
          <w:szCs w:val="20"/>
        </w:rPr>
        <w:t>», conférence à l’ENM dans le cadre de la formation continue des magistrats sur le nouveau droit des contrats, Paris, 3 juillet 2017</w:t>
      </w:r>
    </w:p>
    <w:p w14:paraId="0760AF57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La nouvelle place du juge dans le contrat après la réforme du droit des contrats </w:t>
      </w:r>
      <w:r w:rsidRPr="00A761B4">
        <w:rPr>
          <w:rFonts w:ascii="Arial" w:hAnsi="Arial" w:cs="Arial"/>
          <w:color w:val="3E3B38"/>
          <w:sz w:val="20"/>
          <w:szCs w:val="20"/>
        </w:rPr>
        <w:t>», conférence au Tribunal de grande instance de Pontoise, le 24 avril 2017</w:t>
      </w:r>
    </w:p>
    <w:p w14:paraId="2333637D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"Le grand retour du droit européen des contrats par le numérique ?"</w:t>
      </w:r>
      <w:r w:rsidRPr="00A761B4">
        <w:rPr>
          <w:rFonts w:ascii="Arial" w:hAnsi="Arial" w:cs="Arial"/>
          <w:color w:val="3E3B38"/>
          <w:sz w:val="20"/>
          <w:szCs w:val="20"/>
        </w:rPr>
        <w:t>, 8</w:t>
      </w:r>
      <w:r w:rsidRPr="00A761B4">
        <w:rPr>
          <w:rFonts w:ascii="Arial" w:hAnsi="Arial" w:cs="Arial"/>
          <w:color w:val="3E3B38"/>
          <w:sz w:val="20"/>
          <w:szCs w:val="20"/>
          <w:vertAlign w:val="superscript"/>
        </w:rPr>
        <w:t>ème</w:t>
      </w:r>
      <w:r w:rsidRPr="00A761B4">
        <w:rPr>
          <w:rFonts w:ascii="Arial" w:hAnsi="Arial" w:cs="Arial"/>
          <w:color w:val="3E3B38"/>
          <w:sz w:val="20"/>
          <w:szCs w:val="20"/>
        </w:rPr>
        <w:t> Forum de Trans Europe Experts, Les enjeux juridiques européens : Autour de l'agenda numérique 2020, 27 mars 2017, Institut de Droit comparé, Paris</w:t>
      </w:r>
    </w:p>
    <w:p w14:paraId="057C85CF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 Droit de la consommation, actualités et perspectives », </w:t>
      </w:r>
      <w:r w:rsidRPr="00A761B4">
        <w:rPr>
          <w:rFonts w:ascii="Arial" w:hAnsi="Arial" w:cs="Arial"/>
          <w:color w:val="3E3B38"/>
          <w:sz w:val="20"/>
          <w:szCs w:val="20"/>
        </w:rPr>
        <w:t>conférence auprès des médiateurs des communications électroniques, Paris, 9 mars 2017</w:t>
      </w:r>
    </w:p>
    <w:p w14:paraId="1526100C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Rapport de synthèse </w:t>
      </w:r>
      <w:r w:rsidRPr="00A761B4">
        <w:rPr>
          <w:rFonts w:ascii="Arial" w:hAnsi="Arial" w:cs="Arial"/>
          <w:color w:val="3E3B38"/>
          <w:sz w:val="20"/>
          <w:szCs w:val="20"/>
        </w:rPr>
        <w:t>», colloque « Consommation collaborative : quels enjeux et quelles limites pour les consommateurs ? », organisé par l’INC au ministère de l’économie, le 7 novembre 2014 (publication)</w:t>
      </w:r>
    </w:p>
    <w:p w14:paraId="70425886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Consumer Sales in the Law of EU-</w:t>
      </w:r>
      <w:proofErr w:type="spellStart"/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Member</w:t>
      </w:r>
      <w:proofErr w:type="spellEnd"/>
      <w:r w:rsidRPr="00A761B4">
        <w:rPr>
          <w:rFonts w:ascii="Arial" w:hAnsi="Arial" w:cs="Arial"/>
          <w:b/>
          <w:bCs/>
          <w:color w:val="3E3B38"/>
          <w:sz w:val="20"/>
          <w:szCs w:val="20"/>
        </w:rPr>
        <w:t xml:space="preserve"> States – French Report </w:t>
      </w:r>
      <w:r w:rsidRPr="00A761B4">
        <w:rPr>
          <w:rFonts w:ascii="Arial" w:hAnsi="Arial" w:cs="Arial"/>
          <w:color w:val="3E3B38"/>
          <w:sz w:val="20"/>
          <w:szCs w:val="20"/>
        </w:rPr>
        <w:t>», Colloque « Consumer Sales in the Law of EU-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Member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States » organisé par A. De Franceschi, Université de Ferrara (Italie), les 9-10 octobre 2014 (publication)</w:t>
      </w:r>
    </w:p>
    <w:p w14:paraId="3C4B076A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"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L'intensification de l'harmonisation européenne du droit de la consommation</w:t>
      </w:r>
      <w:r w:rsidRPr="00A761B4">
        <w:rPr>
          <w:rFonts w:ascii="Arial" w:hAnsi="Arial" w:cs="Arial"/>
          <w:color w:val="3E3B38"/>
          <w:sz w:val="20"/>
          <w:szCs w:val="20"/>
        </w:rPr>
        <w:t>", colloque "Une nouvelle donne pour la consommation ? 4èmes rencontres parlementaires sur la Consommation", organisé par M&amp;M Conseil et l'Assemblée nationale le 16 avril 2014 à la Maison de la Chimie, Paris</w:t>
      </w:r>
    </w:p>
    <w:p w14:paraId="2568355E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Droit européen de la consommation </w:t>
      </w:r>
      <w:r w:rsidRPr="00A761B4">
        <w:rPr>
          <w:rFonts w:ascii="Arial" w:hAnsi="Arial" w:cs="Arial"/>
          <w:color w:val="3E3B38"/>
          <w:sz w:val="20"/>
          <w:szCs w:val="20"/>
        </w:rPr>
        <w:t>», conférence à l’Ecole nationale de la magistrature dans le cadre des « Principaux contentieux relatifs aux contrats de consommation », Paris, le 3 avril 2014</w:t>
      </w:r>
    </w:p>
    <w:p w14:paraId="29D4120B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Conclusion des débats 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», colloque « Quels chantiers pour le nouveau parlement européen ? », organisé par le réseau Trans Europe Experts, l’UMR de droit comparé et l’IRJS de l’Université </w:t>
      </w:r>
      <w:r w:rsidRPr="00A761B4">
        <w:rPr>
          <w:rFonts w:ascii="Arial" w:hAnsi="Arial" w:cs="Arial"/>
          <w:color w:val="3E3B38"/>
          <w:sz w:val="20"/>
          <w:szCs w:val="20"/>
        </w:rPr>
        <w:lastRenderedPageBreak/>
        <w:t xml:space="preserve">Panthéon-Sorbonne et le LEJEP de l’Université de Cergy-Pontoise, à la Commission des lois de l’Assemblée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natioanale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>, le 14 mars 2014</w:t>
      </w:r>
    </w:p>
    <w:p w14:paraId="47C500FE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"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Mesures européennes de protection des joueurs contre les risques d'addiction</w:t>
      </w:r>
      <w:r w:rsidRPr="00A761B4">
        <w:rPr>
          <w:rFonts w:ascii="Arial" w:hAnsi="Arial" w:cs="Arial"/>
          <w:color w:val="3E3B38"/>
          <w:sz w:val="20"/>
          <w:szCs w:val="20"/>
        </w:rPr>
        <w:t>", président et modérateur de la table ronde, colloque "La réglementation des jeux d'argent en ligne en Europe : état des lieux et perspectives", organisé par le LEJEP, Cergy-Pontoise, 28 janvier 2014</w:t>
      </w:r>
    </w:p>
    <w:p w14:paraId="6BC3F7AC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Le droit européen de la consommation »</w:t>
      </w:r>
      <w:r w:rsidRPr="00A761B4">
        <w:rPr>
          <w:rFonts w:ascii="Arial" w:hAnsi="Arial" w:cs="Arial"/>
          <w:color w:val="3E3B38"/>
          <w:sz w:val="20"/>
          <w:szCs w:val="20"/>
        </w:rPr>
        <w:t>, conférence à l’Ecole Nationale de la Magistrature (formation continue des magistrats), Paris, 21 novembre 2013</w:t>
      </w:r>
    </w:p>
    <w:p w14:paraId="580174CC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Le Code de la consommation à l’épreuve de nouvelles notions. L’exemple des pratiques déloyales 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», contribution au colloque « Les 20 ans du Code de la consommation. Nouveaux enjeux », organisé C. Aubert de Vincelles et N.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Sauphanor-Brouillaud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,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Grand'chambre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de la Cour de cassation, 4 juillet 2013 (publication)</w:t>
      </w:r>
    </w:p>
    <w:p w14:paraId="4AEAA4EE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Le Code de la consommation : consécration d’un droit autonome et perspectives d’évolution </w:t>
      </w:r>
      <w:r w:rsidRPr="00A761B4">
        <w:rPr>
          <w:rFonts w:ascii="Arial" w:hAnsi="Arial" w:cs="Arial"/>
          <w:color w:val="3E3B38"/>
          <w:sz w:val="20"/>
          <w:szCs w:val="20"/>
        </w:rPr>
        <w:t>», contribution au colloque « Les 20 ans du code de la consommation : bilan et perspectives », organisé par le Ministère de l’économie et des finances, Paris, 27 mai 2013 (publication)</w:t>
      </w:r>
    </w:p>
    <w:p w14:paraId="26C60ABD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Le </w:t>
      </w:r>
      <w:proofErr w:type="spellStart"/>
      <w:r w:rsidRPr="00A761B4">
        <w:rPr>
          <w:rFonts w:ascii="Arial" w:hAnsi="Arial" w:cs="Arial"/>
          <w:b/>
          <w:bCs/>
          <w:i/>
          <w:iCs/>
          <w:color w:val="3E3B38"/>
          <w:sz w:val="20"/>
          <w:szCs w:val="20"/>
        </w:rPr>
        <w:t>Statement</w:t>
      </w:r>
      <w:proofErr w:type="spellEnd"/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 de l’Institut européen du droit relatif à la proposition de règlement sur le droit commun européen de la vente »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,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</w:rPr>
        <w:t>European</w:t>
      </w:r>
      <w:proofErr w:type="spellEnd"/>
      <w:r w:rsidRPr="00A761B4">
        <w:rPr>
          <w:rFonts w:ascii="Arial" w:hAnsi="Arial" w:cs="Arial"/>
          <w:color w:val="3E3B38"/>
          <w:sz w:val="20"/>
          <w:szCs w:val="20"/>
        </w:rPr>
        <w:t xml:space="preserve"> Law Institute, Paris, 5 déc. 2012</w:t>
      </w:r>
    </w:p>
    <w:p w14:paraId="1696CB0E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Le droit européen de la consommation »</w:t>
      </w:r>
      <w:r w:rsidRPr="00A761B4">
        <w:rPr>
          <w:rFonts w:ascii="Arial" w:hAnsi="Arial" w:cs="Arial"/>
          <w:color w:val="3E3B38"/>
          <w:sz w:val="20"/>
          <w:szCs w:val="20"/>
        </w:rPr>
        <w:t>, conférence à l’Ecole Nationale de la Magistrature (formation continue des magistrats), Paris, 14 novembre 2012</w:t>
      </w:r>
    </w:p>
    <w:p w14:paraId="31F89C1F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  <w:lang w:val="en-US"/>
        </w:rPr>
      </w:pPr>
      <w:r w:rsidRPr="00A761B4">
        <w:rPr>
          <w:rFonts w:ascii="Arial" w:hAnsi="Arial" w:cs="Arial"/>
          <w:color w:val="3E3B38"/>
          <w:sz w:val="20"/>
          <w:szCs w:val="20"/>
          <w:lang w:val="en-US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  <w:lang w:val="en-US"/>
        </w:rPr>
        <w:t>La rupture abusive </w:t>
      </w:r>
      <w:r w:rsidRPr="00A761B4">
        <w:rPr>
          <w:rFonts w:ascii="Arial" w:hAnsi="Arial" w:cs="Arial"/>
          <w:color w:val="3E3B38"/>
          <w:sz w:val="20"/>
          <w:szCs w:val="20"/>
          <w:lang w:val="en-US"/>
        </w:rPr>
        <w:t>», </w:t>
      </w:r>
      <w:r w:rsidRPr="00A761B4">
        <w:rPr>
          <w:rFonts w:ascii="Arial" w:hAnsi="Arial" w:cs="Arial"/>
          <w:i/>
          <w:iCs/>
          <w:color w:val="3E3B38"/>
          <w:sz w:val="20"/>
          <w:szCs w:val="20"/>
          <w:lang w:val="en-US"/>
        </w:rPr>
        <w:t xml:space="preserve">Contract </w:t>
      </w:r>
      <w:proofErr w:type="gramStart"/>
      <w:r w:rsidRPr="00A761B4">
        <w:rPr>
          <w:rFonts w:ascii="Arial" w:hAnsi="Arial" w:cs="Arial"/>
          <w:i/>
          <w:iCs/>
          <w:color w:val="3E3B38"/>
          <w:sz w:val="20"/>
          <w:szCs w:val="20"/>
          <w:lang w:val="en-US"/>
        </w:rPr>
        <w:t>law :</w:t>
      </w:r>
      <w:proofErr w:type="gramEnd"/>
      <w:r w:rsidRPr="00A761B4">
        <w:rPr>
          <w:rFonts w:ascii="Arial" w:hAnsi="Arial" w:cs="Arial"/>
          <w:i/>
          <w:iCs/>
          <w:color w:val="3E3B38"/>
          <w:sz w:val="20"/>
          <w:szCs w:val="20"/>
          <w:lang w:val="en-US"/>
        </w:rPr>
        <w:t xml:space="preserve"> Current Issues of the French law of obligations and the reform projects in a comparative context</w:t>
      </w:r>
      <w:r w:rsidRPr="00A761B4">
        <w:rPr>
          <w:rFonts w:ascii="Arial" w:hAnsi="Arial" w:cs="Arial"/>
          <w:color w:val="3E3B38"/>
          <w:sz w:val="20"/>
          <w:szCs w:val="20"/>
          <w:lang w:val="en-US"/>
        </w:rPr>
        <w:t xml:space="preserve">, Max Planck Institute, 1-2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  <w:lang w:val="en-US"/>
        </w:rPr>
        <w:t>nov.</w:t>
      </w:r>
      <w:proofErr w:type="spellEnd"/>
      <w:r w:rsidRPr="00A761B4">
        <w:rPr>
          <w:rFonts w:ascii="Arial" w:hAnsi="Arial" w:cs="Arial"/>
          <w:color w:val="3E3B38"/>
          <w:sz w:val="20"/>
          <w:szCs w:val="20"/>
          <w:lang w:val="en-US"/>
        </w:rPr>
        <w:t xml:space="preserve"> 2012 (publication)</w:t>
      </w:r>
    </w:p>
    <w:p w14:paraId="298A2868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  <w:lang w:val="en-US"/>
        </w:rPr>
      </w:pPr>
      <w:r w:rsidRPr="00A761B4">
        <w:rPr>
          <w:rFonts w:ascii="Arial" w:hAnsi="Arial" w:cs="Arial"/>
          <w:color w:val="3E3B38"/>
          <w:sz w:val="20"/>
          <w:szCs w:val="20"/>
          <w:lang w:val="en-US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  <w:lang w:val="en-US"/>
        </w:rPr>
        <w:t>Position of the Law of Obligations in National and Supranational Law, French report »</w:t>
      </w:r>
      <w:r w:rsidRPr="00A761B4">
        <w:rPr>
          <w:rFonts w:ascii="Arial" w:hAnsi="Arial" w:cs="Arial"/>
          <w:color w:val="3E3B38"/>
          <w:sz w:val="20"/>
          <w:szCs w:val="20"/>
          <w:lang w:val="en-US"/>
        </w:rPr>
        <w:t>, </w:t>
      </w:r>
      <w:r w:rsidRPr="00A761B4">
        <w:rPr>
          <w:rFonts w:ascii="Arial" w:hAnsi="Arial" w:cs="Arial"/>
          <w:i/>
          <w:iCs/>
          <w:color w:val="3E3B38"/>
          <w:sz w:val="20"/>
          <w:szCs w:val="20"/>
          <w:lang w:val="en-US"/>
        </w:rPr>
        <w:t>European Law Days 2012, The European Law of Obligations at a Turning Point</w:t>
      </w:r>
      <w:r w:rsidRPr="00A761B4">
        <w:rPr>
          <w:rFonts w:ascii="Arial" w:hAnsi="Arial" w:cs="Arial"/>
          <w:color w:val="3E3B38"/>
          <w:sz w:val="20"/>
          <w:szCs w:val="20"/>
          <w:lang w:val="en-US"/>
        </w:rPr>
        <w:t xml:space="preserve">,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  <w:lang w:val="en-US"/>
        </w:rPr>
        <w:t>Université</w:t>
      </w:r>
      <w:proofErr w:type="spellEnd"/>
      <w:r w:rsidRPr="00A761B4">
        <w:rPr>
          <w:rFonts w:ascii="Arial" w:hAnsi="Arial" w:cs="Arial"/>
          <w:color w:val="3E3B38"/>
          <w:sz w:val="20"/>
          <w:szCs w:val="20"/>
          <w:lang w:val="en-US"/>
        </w:rPr>
        <w:t xml:space="preserve"> de Munster,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  <w:lang w:val="en-US"/>
        </w:rPr>
        <w:t>Allemagne</w:t>
      </w:r>
      <w:proofErr w:type="spellEnd"/>
      <w:r w:rsidRPr="00A761B4">
        <w:rPr>
          <w:rFonts w:ascii="Arial" w:hAnsi="Arial" w:cs="Arial"/>
          <w:color w:val="3E3B38"/>
          <w:sz w:val="20"/>
          <w:szCs w:val="20"/>
          <w:lang w:val="en-US"/>
        </w:rPr>
        <w:t xml:space="preserve">, 18-19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  <w:lang w:val="en-US"/>
        </w:rPr>
        <w:t>octobre</w:t>
      </w:r>
      <w:proofErr w:type="spellEnd"/>
      <w:r w:rsidRPr="00A761B4">
        <w:rPr>
          <w:rFonts w:ascii="Arial" w:hAnsi="Arial" w:cs="Arial"/>
          <w:color w:val="3E3B38"/>
          <w:sz w:val="20"/>
          <w:szCs w:val="20"/>
          <w:lang w:val="en-US"/>
        </w:rPr>
        <w:t xml:space="preserve"> 2012 (publication)</w:t>
      </w:r>
    </w:p>
    <w:p w14:paraId="343CDAC6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« Les caractères du droit commun européen de la vente »</w:t>
      </w:r>
      <w:r w:rsidRPr="00A761B4">
        <w:rPr>
          <w:rFonts w:ascii="Arial" w:hAnsi="Arial" w:cs="Arial"/>
          <w:b/>
          <w:bCs/>
          <w:i/>
          <w:iCs/>
          <w:color w:val="3E3B38"/>
          <w:sz w:val="20"/>
          <w:szCs w:val="20"/>
        </w:rPr>
        <w:t>,</w:t>
      </w:r>
      <w:r w:rsidRPr="00A761B4">
        <w:rPr>
          <w:rFonts w:ascii="Arial" w:hAnsi="Arial" w:cs="Arial"/>
          <w:color w:val="3E3B38"/>
          <w:sz w:val="20"/>
          <w:szCs w:val="20"/>
        </w:rPr>
        <w:t> workshop du Groupe de recherche internationale sur les nouvelles normativités en Europe, sur « L’instrument de droit européen des contrats, réflexions introductives sur les nouvelles normativités en Europe », Paris, 28 nov. 2011 (publication)</w:t>
      </w:r>
    </w:p>
    <w:p w14:paraId="1DA1B23A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  <w:lang w:val="en-US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  <w:lang w:val="en-US"/>
        </w:rPr>
        <w:t>« Scope, coverage and regulatory technique of the CESL»</w:t>
      </w:r>
      <w:r w:rsidRPr="00A761B4">
        <w:rPr>
          <w:rFonts w:ascii="Arial" w:hAnsi="Arial" w:cs="Arial"/>
          <w:color w:val="3E3B38"/>
          <w:sz w:val="20"/>
          <w:szCs w:val="20"/>
          <w:lang w:val="en-US"/>
        </w:rPr>
        <w:t xml:space="preserve">, workshop of the European Law Institute on The Proposal for a Common European Sales law, European Law Institute, Vienne, 17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  <w:lang w:val="en-US"/>
        </w:rPr>
        <w:t>nov.</w:t>
      </w:r>
      <w:proofErr w:type="spellEnd"/>
      <w:r w:rsidRPr="00A761B4">
        <w:rPr>
          <w:rFonts w:ascii="Arial" w:hAnsi="Arial" w:cs="Arial"/>
          <w:color w:val="3E3B38"/>
          <w:sz w:val="20"/>
          <w:szCs w:val="20"/>
          <w:lang w:val="en-US"/>
        </w:rPr>
        <w:t xml:space="preserve"> 2011</w:t>
      </w:r>
    </w:p>
    <w:p w14:paraId="5F3F1BCF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Le droit européen de la consommation »</w:t>
      </w:r>
      <w:r w:rsidRPr="00A761B4">
        <w:rPr>
          <w:rFonts w:ascii="Arial" w:hAnsi="Arial" w:cs="Arial"/>
          <w:color w:val="3E3B38"/>
          <w:sz w:val="20"/>
          <w:szCs w:val="20"/>
        </w:rPr>
        <w:t>, conférence à l’Ecole Nationale de la Magistrature (formation continue des magistrats), Paris, 23 novembre 2011</w:t>
      </w:r>
    </w:p>
    <w:p w14:paraId="131AABA5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  <w:lang w:val="en-US"/>
        </w:rPr>
      </w:pPr>
      <w:r w:rsidRPr="00A761B4">
        <w:rPr>
          <w:rFonts w:ascii="Arial" w:hAnsi="Arial" w:cs="Arial"/>
          <w:b/>
          <w:bCs/>
          <w:color w:val="3E3B38"/>
          <w:sz w:val="20"/>
          <w:szCs w:val="20"/>
          <w:lang w:val="en-US"/>
        </w:rPr>
        <w:t>« A better Europe for Consumers and Businesses »</w:t>
      </w:r>
      <w:r w:rsidRPr="00A761B4">
        <w:rPr>
          <w:rFonts w:ascii="Arial" w:hAnsi="Arial" w:cs="Arial"/>
          <w:color w:val="3E3B38"/>
          <w:sz w:val="20"/>
          <w:szCs w:val="20"/>
          <w:lang w:val="en-US"/>
        </w:rPr>
        <w:t>, Conference on « An Optional Instrument for the European Union », Anvers 20 oct. 2011</w:t>
      </w:r>
    </w:p>
    <w:p w14:paraId="01378B72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Acquis européen, cadre commun de référence et proposition de directive européenne relative au droit des consommateurs : quelle place pour les contrats spéciaux </w:t>
      </w:r>
      <w:proofErr w:type="gramStart"/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? </w:t>
      </w:r>
      <w:r w:rsidRPr="00A761B4">
        <w:rPr>
          <w:rFonts w:ascii="Arial" w:hAnsi="Arial" w:cs="Arial"/>
          <w:color w:val="3E3B38"/>
          <w:sz w:val="20"/>
          <w:szCs w:val="20"/>
        </w:rPr>
        <w:t>,</w:t>
      </w:r>
      <w:proofErr w:type="gramEnd"/>
      <w:r w:rsidRPr="00A761B4">
        <w:rPr>
          <w:rFonts w:ascii="Arial" w:hAnsi="Arial" w:cs="Arial"/>
          <w:color w:val="3E3B38"/>
          <w:sz w:val="20"/>
          <w:szCs w:val="20"/>
        </w:rPr>
        <w:t xml:space="preserve"> contribution au colloque « Vers un droit européen des contrats spéciaux », organisé par l’Université de Lille le 17 juin 2011 (publication)</w:t>
      </w:r>
    </w:p>
    <w:p w14:paraId="4AED5839" w14:textId="2E8C1026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  <w:lang w:val="en-US"/>
        </w:rPr>
      </w:pPr>
      <w:r w:rsidRPr="00A761B4">
        <w:rPr>
          <w:rFonts w:ascii="Arial" w:hAnsi="Arial" w:cs="Arial"/>
          <w:color w:val="3E3B38"/>
          <w:sz w:val="20"/>
          <w:szCs w:val="20"/>
          <w:lang w:val="en-US"/>
        </w:rPr>
        <w:t>«</w:t>
      </w:r>
      <w:r w:rsidRPr="00A761B4">
        <w:rPr>
          <w:rFonts w:ascii="Arial" w:hAnsi="Arial" w:cs="Arial"/>
          <w:b/>
          <w:bCs/>
          <w:color w:val="3E3B38"/>
          <w:sz w:val="20"/>
          <w:szCs w:val="20"/>
          <w:lang w:val="en-US"/>
        </w:rPr>
        <w:t>Rebuilding the European social market economy: European values and the new social market economy: Towards a stakeholder economy»</w:t>
      </w:r>
      <w:r w:rsidRPr="00A761B4">
        <w:rPr>
          <w:rFonts w:ascii="Arial" w:hAnsi="Arial" w:cs="Arial"/>
          <w:color w:val="3E3B38"/>
          <w:sz w:val="20"/>
          <w:szCs w:val="20"/>
          <w:lang w:val="en-US"/>
        </w:rPr>
        <w:t xml:space="preserve">, Seminar of European Ideas Network jointly with Res Publica Foundation, Contribution à la table ronde « Business opportunities in the single market », 23-24 </w:t>
      </w:r>
      <w:proofErr w:type="spellStart"/>
      <w:r w:rsidRPr="00A761B4">
        <w:rPr>
          <w:rFonts w:ascii="Arial" w:hAnsi="Arial" w:cs="Arial"/>
          <w:color w:val="3E3B38"/>
          <w:sz w:val="20"/>
          <w:szCs w:val="20"/>
          <w:lang w:val="en-US"/>
        </w:rPr>
        <w:t>mai</w:t>
      </w:r>
      <w:proofErr w:type="spellEnd"/>
      <w:r w:rsidRPr="00A761B4">
        <w:rPr>
          <w:rFonts w:ascii="Arial" w:hAnsi="Arial" w:cs="Arial"/>
          <w:color w:val="3E3B38"/>
          <w:sz w:val="20"/>
          <w:szCs w:val="20"/>
          <w:lang w:val="en-US"/>
        </w:rPr>
        <w:t xml:space="preserve"> 2011, European Parliament, Milan</w:t>
      </w:r>
    </w:p>
    <w:p w14:paraId="0E5E6B50" w14:textId="77777777" w:rsidR="00A761B4" w:rsidRPr="00A761B4" w:rsidRDefault="00A761B4" w:rsidP="00273F1D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761B4">
        <w:rPr>
          <w:rFonts w:ascii="Arial" w:hAnsi="Arial" w:cs="Arial"/>
          <w:color w:val="3E3B38"/>
          <w:sz w:val="20"/>
          <w:szCs w:val="20"/>
        </w:rPr>
        <w:t>« </w:t>
      </w:r>
      <w:r w:rsidRPr="00A761B4">
        <w:rPr>
          <w:rFonts w:ascii="Arial" w:hAnsi="Arial" w:cs="Arial"/>
          <w:b/>
          <w:bCs/>
          <w:color w:val="3E3B38"/>
          <w:sz w:val="20"/>
          <w:szCs w:val="20"/>
        </w:rPr>
        <w:t>Réponse au Livre vert de la Commission sur le droit européen des contrats »</w:t>
      </w:r>
      <w:r w:rsidRPr="00A761B4">
        <w:rPr>
          <w:rFonts w:ascii="Arial" w:hAnsi="Arial" w:cs="Arial"/>
          <w:color w:val="3E3B38"/>
          <w:sz w:val="20"/>
          <w:szCs w:val="20"/>
        </w:rPr>
        <w:t xml:space="preserve">, contribution au Forum sur les « Enjeux juridiques européens » organisé par le réseau Trans Europe Experts, </w:t>
      </w:r>
      <w:r w:rsidRPr="00A761B4">
        <w:rPr>
          <w:rFonts w:ascii="Arial" w:hAnsi="Arial" w:cs="Arial"/>
          <w:color w:val="3E3B38"/>
          <w:sz w:val="20"/>
          <w:szCs w:val="20"/>
        </w:rPr>
        <w:lastRenderedPageBreak/>
        <w:t>l’UMR de droit comparé et l’IRJS de l’Université Panthéon-Sorbonne et le LEJEP de l’Université de Cergy-Pontoise, le 1</w:t>
      </w:r>
      <w:r w:rsidRPr="00A761B4">
        <w:rPr>
          <w:rFonts w:ascii="Arial" w:hAnsi="Arial" w:cs="Arial"/>
          <w:color w:val="3E3B38"/>
          <w:sz w:val="20"/>
          <w:szCs w:val="20"/>
          <w:vertAlign w:val="superscript"/>
        </w:rPr>
        <w:t>er</w:t>
      </w:r>
      <w:r w:rsidRPr="00A761B4">
        <w:rPr>
          <w:rFonts w:ascii="Arial" w:hAnsi="Arial" w:cs="Arial"/>
          <w:color w:val="3E3B38"/>
          <w:sz w:val="20"/>
          <w:szCs w:val="20"/>
        </w:rPr>
        <w:t> avril 2011 à la Chambre de commerce et d’industrie de Paris</w:t>
      </w:r>
    </w:p>
    <w:p w14:paraId="6847FD53" w14:textId="77777777" w:rsidR="00FA24D4" w:rsidRPr="0062322B" w:rsidRDefault="00FA24D4" w:rsidP="00273F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sectPr w:rsidR="00FA24D4" w:rsidRPr="0062322B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2638E" w14:textId="77777777" w:rsidR="00CD6CCE" w:rsidRDefault="00CD6CCE" w:rsidP="00F342F6">
      <w:r>
        <w:separator/>
      </w:r>
    </w:p>
  </w:endnote>
  <w:endnote w:type="continuationSeparator" w:id="0">
    <w:p w14:paraId="17E8A43E" w14:textId="77777777" w:rsidR="00CD6CCE" w:rsidRDefault="00CD6CCE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9E576" w14:textId="77777777" w:rsidR="00CD6CCE" w:rsidRDefault="00CD6CCE" w:rsidP="00F342F6">
      <w:r>
        <w:separator/>
      </w:r>
    </w:p>
  </w:footnote>
  <w:footnote w:type="continuationSeparator" w:id="0">
    <w:p w14:paraId="53FC045C" w14:textId="77777777" w:rsidR="00CD6CCE" w:rsidRDefault="00CD6CCE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" w15:restartNumberingAfterBreak="0">
    <w:nsid w:val="25F72ACF"/>
    <w:multiLevelType w:val="multilevel"/>
    <w:tmpl w:val="23F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900A1"/>
    <w:multiLevelType w:val="multilevel"/>
    <w:tmpl w:val="23F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A82EBB"/>
    <w:multiLevelType w:val="multilevel"/>
    <w:tmpl w:val="FB70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2F7D77"/>
    <w:multiLevelType w:val="multilevel"/>
    <w:tmpl w:val="23F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541061"/>
    <w:multiLevelType w:val="multilevel"/>
    <w:tmpl w:val="23F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467A4A"/>
    <w:multiLevelType w:val="multilevel"/>
    <w:tmpl w:val="23F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38374C"/>
    <w:multiLevelType w:val="multilevel"/>
    <w:tmpl w:val="23F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0" w15:restartNumberingAfterBreak="0">
    <w:nsid w:val="691A512F"/>
    <w:multiLevelType w:val="multilevel"/>
    <w:tmpl w:val="23F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A7E8F"/>
    <w:rsid w:val="000D3D3F"/>
    <w:rsid w:val="000E5D31"/>
    <w:rsid w:val="000F24C4"/>
    <w:rsid w:val="0020609E"/>
    <w:rsid w:val="002333AF"/>
    <w:rsid w:val="00273F1D"/>
    <w:rsid w:val="002A3B7F"/>
    <w:rsid w:val="002F64FD"/>
    <w:rsid w:val="0032588D"/>
    <w:rsid w:val="0033033D"/>
    <w:rsid w:val="0033345C"/>
    <w:rsid w:val="003A1D74"/>
    <w:rsid w:val="00403D39"/>
    <w:rsid w:val="00422A7E"/>
    <w:rsid w:val="00425E65"/>
    <w:rsid w:val="004373F3"/>
    <w:rsid w:val="0048140F"/>
    <w:rsid w:val="005259DD"/>
    <w:rsid w:val="005E076B"/>
    <w:rsid w:val="005E16F1"/>
    <w:rsid w:val="0062322B"/>
    <w:rsid w:val="00643436"/>
    <w:rsid w:val="00686F12"/>
    <w:rsid w:val="00720921"/>
    <w:rsid w:val="0073170B"/>
    <w:rsid w:val="007B5FB2"/>
    <w:rsid w:val="00812ACC"/>
    <w:rsid w:val="00832F66"/>
    <w:rsid w:val="008359B5"/>
    <w:rsid w:val="00854B87"/>
    <w:rsid w:val="0098770C"/>
    <w:rsid w:val="00A22947"/>
    <w:rsid w:val="00A257E7"/>
    <w:rsid w:val="00A25C27"/>
    <w:rsid w:val="00A6224B"/>
    <w:rsid w:val="00A75081"/>
    <w:rsid w:val="00A761B4"/>
    <w:rsid w:val="00B111D3"/>
    <w:rsid w:val="00B61D6B"/>
    <w:rsid w:val="00B7791E"/>
    <w:rsid w:val="00B82446"/>
    <w:rsid w:val="00BE4192"/>
    <w:rsid w:val="00C16BB8"/>
    <w:rsid w:val="00CD6CCE"/>
    <w:rsid w:val="00CE4422"/>
    <w:rsid w:val="00CE7652"/>
    <w:rsid w:val="00CF09F4"/>
    <w:rsid w:val="00CF6BE2"/>
    <w:rsid w:val="00E26FFC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61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A761B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A38DF2-A66C-40E3-B170-798169C8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2490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22</cp:revision>
  <cp:lastPrinted>2020-09-11T13:24:00Z</cp:lastPrinted>
  <dcterms:created xsi:type="dcterms:W3CDTF">2022-05-10T13:53:00Z</dcterms:created>
  <dcterms:modified xsi:type="dcterms:W3CDTF">2022-05-21T16:10:00Z</dcterms:modified>
</cp:coreProperties>
</file>