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03261885" w14:textId="77777777" w:rsidR="00B239F7" w:rsidRDefault="00B239F7" w:rsidP="001B18A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 w:rsidRPr="00B239F7">
        <w:rPr>
          <w:rFonts w:ascii="Arial" w:hAnsi="Arial" w:cs="Arial"/>
          <w:b/>
          <w:bCs/>
          <w:color w:val="3E3B38"/>
          <w:sz w:val="36"/>
          <w:szCs w:val="36"/>
        </w:rPr>
        <w:t xml:space="preserve">Caroline </w:t>
      </w:r>
      <w:proofErr w:type="spellStart"/>
      <w:r w:rsidRPr="00B239F7">
        <w:rPr>
          <w:rFonts w:ascii="Arial" w:hAnsi="Arial" w:cs="Arial"/>
          <w:b/>
          <w:bCs/>
          <w:color w:val="3E3B38"/>
          <w:sz w:val="36"/>
          <w:szCs w:val="36"/>
        </w:rPr>
        <w:t>PELLETIER</w:t>
      </w:r>
    </w:p>
    <w:bookmarkEnd w:id="0"/>
    <w:p w14:paraId="25D09437" w14:textId="1C4AF858" w:rsidR="00CE4422" w:rsidRDefault="00D54EC0" w:rsidP="001B18A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Cs/>
          <w:color w:val="3E3B38"/>
          <w:sz w:val="28"/>
          <w:szCs w:val="36"/>
        </w:rPr>
      </w:pPr>
      <w:proofErr w:type="spellEnd"/>
      <w:r w:rsidRPr="00D54EC0">
        <w:rPr>
          <w:rFonts w:ascii="Arial" w:hAnsi="Arial" w:cs="Arial"/>
          <w:bCs/>
          <w:color w:val="3E3B38"/>
          <w:sz w:val="28"/>
          <w:szCs w:val="36"/>
        </w:rPr>
        <w:t>Professeur des universités en droit privé</w:t>
      </w:r>
    </w:p>
    <w:p w14:paraId="6C798FEF" w14:textId="77777777" w:rsidR="001B18A9" w:rsidRDefault="001B18A9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2C31FF9" w14:textId="7D602337" w:rsidR="001B18A9" w:rsidRDefault="00B239F7" w:rsidP="001B18A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B239F7">
        <w:rPr>
          <w:rFonts w:ascii="Arial" w:hAnsi="Arial" w:cs="Arial"/>
          <w:b/>
          <w:bCs/>
          <w:color w:val="C00000"/>
          <w:sz w:val="20"/>
          <w:szCs w:val="20"/>
        </w:rPr>
        <w:t>Publications</w:t>
      </w:r>
    </w:p>
    <w:p w14:paraId="6C33E871" w14:textId="1E6933CF" w:rsidR="00B239F7" w:rsidRDefault="00B239F7" w:rsidP="001B18A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4F5504F" w14:textId="74E4E8A5" w:rsidR="00B239F7" w:rsidRPr="00B239F7" w:rsidRDefault="00B239F7" w:rsidP="001B18A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B239F7">
        <w:rPr>
          <w:rFonts w:ascii="Arial" w:hAnsi="Arial" w:cs="Arial"/>
          <w:b/>
          <w:color w:val="3E3B38"/>
          <w:sz w:val="20"/>
          <w:szCs w:val="20"/>
        </w:rPr>
        <w:t>Ouvrages individuels et collectifs :</w:t>
      </w:r>
    </w:p>
    <w:p w14:paraId="0CBDFB54" w14:textId="77777777" w:rsidR="00B239F7" w:rsidRPr="003A1D74" w:rsidRDefault="00B239F7" w:rsidP="001B18A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5D7EB721" w14:textId="76355880" w:rsidR="00B239F7" w:rsidRPr="00B239F7" w:rsidRDefault="00B239F7" w:rsidP="00B239F7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239F7">
        <w:rPr>
          <w:rFonts w:ascii="Arial" w:hAnsi="Arial" w:cs="Arial"/>
          <w:color w:val="3E3B38"/>
          <w:sz w:val="18"/>
          <w:szCs w:val="18"/>
        </w:rPr>
        <w:t>« Les clauses contractuelles favorisant une justice alternative », </w:t>
      </w:r>
      <w:r w:rsidRPr="00B239F7">
        <w:rPr>
          <w:rFonts w:ascii="Arial" w:hAnsi="Arial" w:cs="Arial"/>
          <w:i/>
          <w:iCs/>
          <w:color w:val="3E3B38"/>
          <w:sz w:val="18"/>
          <w:szCs w:val="18"/>
        </w:rPr>
        <w:t>in Les modes alternatifs de règlement des litiges,</w:t>
      </w:r>
      <w:r w:rsidRPr="00B239F7">
        <w:rPr>
          <w:rFonts w:ascii="Arial" w:hAnsi="Arial" w:cs="Arial"/>
          <w:color w:val="3E3B38"/>
          <w:sz w:val="18"/>
          <w:szCs w:val="18"/>
        </w:rPr>
        <w:t xml:space="preserve"> coll. </w:t>
      </w:r>
      <w:proofErr w:type="spellStart"/>
      <w:r w:rsidRPr="00B239F7">
        <w:rPr>
          <w:rFonts w:ascii="Arial" w:hAnsi="Arial" w:cs="Arial"/>
          <w:color w:val="3E3B38"/>
          <w:sz w:val="18"/>
          <w:szCs w:val="18"/>
        </w:rPr>
        <w:t>Lejep</w:t>
      </w:r>
      <w:proofErr w:type="spellEnd"/>
      <w:r w:rsidRPr="00B239F7">
        <w:rPr>
          <w:rFonts w:ascii="Arial" w:hAnsi="Arial" w:cs="Arial"/>
          <w:color w:val="3E3B38"/>
          <w:sz w:val="18"/>
          <w:szCs w:val="18"/>
        </w:rPr>
        <w:t>, Lextenso, 2017, à paraître.</w:t>
      </w:r>
    </w:p>
    <w:p w14:paraId="614447A6" w14:textId="367A723D" w:rsidR="00B239F7" w:rsidRPr="00B239F7" w:rsidRDefault="00B239F7" w:rsidP="00B239F7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239F7">
        <w:rPr>
          <w:rFonts w:ascii="Arial" w:hAnsi="Arial" w:cs="Arial"/>
          <w:color w:val="3E3B38"/>
          <w:sz w:val="18"/>
          <w:szCs w:val="18"/>
        </w:rPr>
        <w:t>« Commentaire d’arrêt – responsabilité contractuelle », </w:t>
      </w:r>
      <w:r w:rsidRPr="00B239F7">
        <w:rPr>
          <w:rFonts w:ascii="Arial" w:hAnsi="Arial" w:cs="Arial"/>
          <w:i/>
          <w:iCs/>
          <w:color w:val="3E3B38"/>
          <w:sz w:val="18"/>
          <w:szCs w:val="18"/>
        </w:rPr>
        <w:t>in Droit civil des obligations, Méthodologie et sujets corrigés,</w:t>
      </w:r>
      <w:r w:rsidRPr="00B239F7">
        <w:rPr>
          <w:rFonts w:ascii="Arial" w:hAnsi="Arial" w:cs="Arial"/>
          <w:color w:val="3E3B38"/>
          <w:sz w:val="18"/>
          <w:szCs w:val="18"/>
        </w:rPr>
        <w:t> Les annales du droit 2017, Dalloz, 2016, p. 156.</w:t>
      </w:r>
    </w:p>
    <w:p w14:paraId="137DA345" w14:textId="3B0C3909" w:rsidR="00B239F7" w:rsidRPr="00B239F7" w:rsidRDefault="00B239F7" w:rsidP="00B239F7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239F7">
        <w:rPr>
          <w:rFonts w:ascii="Arial" w:hAnsi="Arial" w:cs="Arial"/>
          <w:color w:val="3E3B38"/>
          <w:sz w:val="18"/>
          <w:szCs w:val="18"/>
        </w:rPr>
        <w:t>« Commentaire d’arrêt – Responsabilité délictuelle », </w:t>
      </w:r>
      <w:r w:rsidRPr="00B239F7">
        <w:rPr>
          <w:rFonts w:ascii="Arial" w:hAnsi="Arial" w:cs="Arial"/>
          <w:i/>
          <w:iCs/>
          <w:color w:val="3E3B38"/>
          <w:sz w:val="18"/>
          <w:szCs w:val="18"/>
        </w:rPr>
        <w:t>in </w:t>
      </w:r>
      <w:r w:rsidRPr="00B239F7">
        <w:rPr>
          <w:rFonts w:ascii="Arial" w:hAnsi="Arial" w:cs="Arial"/>
          <w:color w:val="3E3B38"/>
          <w:sz w:val="18"/>
          <w:szCs w:val="18"/>
        </w:rPr>
        <w:t>Droit civil des obligations, Méthodologie et sujets corrigés, Les annales du droit 2015, Dalloz, 2014, p. 215.</w:t>
      </w:r>
    </w:p>
    <w:p w14:paraId="55ED3A20" w14:textId="2B8FFA3E" w:rsidR="00B239F7" w:rsidRPr="00B239F7" w:rsidRDefault="00B239F7" w:rsidP="00B239F7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239F7">
        <w:rPr>
          <w:rFonts w:ascii="Arial" w:hAnsi="Arial" w:cs="Arial"/>
          <w:color w:val="3E3B38"/>
          <w:sz w:val="18"/>
          <w:szCs w:val="18"/>
        </w:rPr>
        <w:t>« Cas pratique – Responsabilité délictuelle », </w:t>
      </w:r>
      <w:r w:rsidRPr="00B239F7">
        <w:rPr>
          <w:rFonts w:ascii="Arial" w:hAnsi="Arial" w:cs="Arial"/>
          <w:i/>
          <w:iCs/>
          <w:color w:val="3E3B38"/>
          <w:sz w:val="18"/>
          <w:szCs w:val="18"/>
        </w:rPr>
        <w:t>in </w:t>
      </w:r>
      <w:r w:rsidRPr="00B239F7">
        <w:rPr>
          <w:rFonts w:ascii="Arial" w:hAnsi="Arial" w:cs="Arial"/>
          <w:color w:val="3E3B38"/>
          <w:sz w:val="18"/>
          <w:szCs w:val="18"/>
        </w:rPr>
        <w:t>Droit civil des obligations, Méthodologie et sujets corrigés, Les annales du droit 2014, Dalloz, 2013, p. 226.</w:t>
      </w:r>
    </w:p>
    <w:p w14:paraId="08DBAFFA" w14:textId="774C2A4B" w:rsidR="00B239F7" w:rsidRPr="00B239F7" w:rsidRDefault="00B239F7" w:rsidP="00B239F7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239F7">
        <w:rPr>
          <w:rFonts w:ascii="Arial" w:hAnsi="Arial" w:cs="Arial"/>
          <w:color w:val="3E3B38"/>
          <w:sz w:val="18"/>
          <w:szCs w:val="18"/>
        </w:rPr>
        <w:t>« Cas pratique – Responsabilité générale du fait d’autrui », </w:t>
      </w:r>
      <w:r w:rsidRPr="00B239F7">
        <w:rPr>
          <w:rFonts w:ascii="Arial" w:hAnsi="Arial" w:cs="Arial"/>
          <w:i/>
          <w:iCs/>
          <w:color w:val="3E3B38"/>
          <w:sz w:val="18"/>
          <w:szCs w:val="18"/>
        </w:rPr>
        <w:t>in </w:t>
      </w:r>
      <w:r w:rsidRPr="00B239F7">
        <w:rPr>
          <w:rFonts w:ascii="Arial" w:hAnsi="Arial" w:cs="Arial"/>
          <w:color w:val="3E3B38"/>
          <w:sz w:val="18"/>
          <w:szCs w:val="18"/>
        </w:rPr>
        <w:t>Droit civil des obligations, Méthodologie et sujets corrigés, Les annales du droit 2013, Dalloz, 2012, p. 245.</w:t>
      </w:r>
    </w:p>
    <w:p w14:paraId="6EFAAED5" w14:textId="5F9C8DEC" w:rsidR="00B239F7" w:rsidRDefault="00B239F7" w:rsidP="00B239F7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239F7">
        <w:rPr>
          <w:rFonts w:ascii="Arial" w:hAnsi="Arial" w:cs="Arial"/>
          <w:color w:val="3E3B38"/>
          <w:sz w:val="18"/>
          <w:szCs w:val="18"/>
        </w:rPr>
        <w:t>« Le juge et l’efficacité de l’acte normatif », </w:t>
      </w:r>
      <w:r w:rsidRPr="00B239F7">
        <w:rPr>
          <w:rFonts w:ascii="Arial" w:hAnsi="Arial" w:cs="Arial"/>
          <w:i/>
          <w:iCs/>
          <w:color w:val="3E3B38"/>
          <w:sz w:val="18"/>
          <w:szCs w:val="18"/>
        </w:rPr>
        <w:t>in</w:t>
      </w:r>
      <w:r w:rsidRPr="00B239F7">
        <w:rPr>
          <w:rFonts w:ascii="Arial" w:hAnsi="Arial" w:cs="Arial"/>
          <w:color w:val="3E3B38"/>
          <w:sz w:val="18"/>
          <w:szCs w:val="18"/>
        </w:rPr>
        <w:t xml:space="preserve"> L’efficacité de l’acte normatif, coll. </w:t>
      </w:r>
      <w:proofErr w:type="spellStart"/>
      <w:r w:rsidRPr="00B239F7">
        <w:rPr>
          <w:rFonts w:ascii="Arial" w:hAnsi="Arial" w:cs="Arial"/>
          <w:color w:val="3E3B38"/>
          <w:sz w:val="18"/>
          <w:szCs w:val="18"/>
        </w:rPr>
        <w:t>Lejep</w:t>
      </w:r>
      <w:proofErr w:type="spellEnd"/>
      <w:r w:rsidRPr="00B239F7">
        <w:rPr>
          <w:rFonts w:ascii="Arial" w:hAnsi="Arial" w:cs="Arial"/>
          <w:color w:val="3E3B38"/>
          <w:sz w:val="18"/>
          <w:szCs w:val="18"/>
        </w:rPr>
        <w:t>, Lextenso, 2013, p. 165</w:t>
      </w:r>
      <w:r>
        <w:rPr>
          <w:rFonts w:ascii="Arial" w:hAnsi="Arial" w:cs="Arial"/>
          <w:color w:val="3E3B38"/>
          <w:sz w:val="18"/>
          <w:szCs w:val="18"/>
        </w:rPr>
        <w:t>.</w:t>
      </w:r>
    </w:p>
    <w:p w14:paraId="13FD6E2E" w14:textId="4C1DC1DC" w:rsidR="00B239F7" w:rsidRDefault="00B239F7" w:rsidP="00B239F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D0D133C" w14:textId="77777777" w:rsidR="00B239F7" w:rsidRPr="00B239F7" w:rsidRDefault="00B239F7" w:rsidP="00B239F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B239F7">
        <w:rPr>
          <w:rFonts w:ascii="Arial" w:hAnsi="Arial" w:cs="Arial"/>
          <w:b/>
          <w:bCs/>
          <w:iCs/>
          <w:color w:val="3E3B38"/>
          <w:sz w:val="18"/>
          <w:szCs w:val="18"/>
        </w:rPr>
        <w:t>Articles et chroniques</w:t>
      </w:r>
    </w:p>
    <w:p w14:paraId="2CA3004C" w14:textId="77777777" w:rsidR="00B239F7" w:rsidRPr="00B239F7" w:rsidRDefault="00B239F7" w:rsidP="00B239F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AF709DA" w14:textId="2CE561E6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 xml:space="preserve">« Articulation entre </w:t>
      </w:r>
      <w:proofErr w:type="spellStart"/>
      <w:r w:rsidRPr="00B239F7">
        <w:rPr>
          <w:rFonts w:ascii="Arial" w:hAnsi="Arial" w:cs="Arial"/>
          <w:sz w:val="20"/>
          <w:szCs w:val="20"/>
        </w:rPr>
        <w:t>entre</w:t>
      </w:r>
      <w:proofErr w:type="spellEnd"/>
      <w:r w:rsidRPr="00B239F7">
        <w:rPr>
          <w:rFonts w:ascii="Arial" w:hAnsi="Arial" w:cs="Arial"/>
          <w:sz w:val="20"/>
          <w:szCs w:val="20"/>
        </w:rPr>
        <w:t xml:space="preserve"> clause de conciliation et mise en œuvre d’une mesure d’exécution forcée », </w:t>
      </w:r>
      <w:r w:rsidRPr="00B239F7">
        <w:rPr>
          <w:rFonts w:ascii="Arial" w:hAnsi="Arial" w:cs="Arial"/>
          <w:i/>
          <w:iCs/>
          <w:sz w:val="20"/>
          <w:szCs w:val="20"/>
        </w:rPr>
        <w:t>R.D.C., </w:t>
      </w:r>
      <w:r w:rsidRPr="00B239F7">
        <w:rPr>
          <w:rFonts w:ascii="Arial" w:hAnsi="Arial" w:cs="Arial"/>
          <w:sz w:val="20"/>
          <w:szCs w:val="20"/>
        </w:rPr>
        <w:t>2017, p. 69.</w:t>
      </w:r>
    </w:p>
    <w:p w14:paraId="2241E709" w14:textId="32B21A9A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Clause de conciliation et demande reconventionnelle », </w:t>
      </w:r>
      <w:r w:rsidRPr="00B239F7">
        <w:rPr>
          <w:rFonts w:ascii="Arial" w:hAnsi="Arial" w:cs="Arial"/>
          <w:i/>
          <w:iCs/>
          <w:sz w:val="20"/>
          <w:szCs w:val="20"/>
        </w:rPr>
        <w:t>R.D.C., </w:t>
      </w:r>
      <w:r w:rsidRPr="00B239F7">
        <w:rPr>
          <w:rFonts w:ascii="Arial" w:hAnsi="Arial" w:cs="Arial"/>
          <w:sz w:val="20"/>
          <w:szCs w:val="20"/>
        </w:rPr>
        <w:t>2017, p. 71.</w:t>
      </w:r>
    </w:p>
    <w:p w14:paraId="5548FB0B" w14:textId="70D68E49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Extension du principe de loyauté de la preuve aux procédures permettant l’obtention de mesures d’instruction </w:t>
      </w:r>
      <w:r w:rsidRPr="00B239F7">
        <w:rPr>
          <w:rFonts w:ascii="Arial" w:hAnsi="Arial" w:cs="Arial"/>
          <w:i/>
          <w:iCs/>
          <w:sz w:val="20"/>
          <w:szCs w:val="20"/>
        </w:rPr>
        <w:t>in futurum</w:t>
      </w:r>
      <w:r w:rsidRPr="00B239F7">
        <w:rPr>
          <w:rFonts w:ascii="Arial" w:hAnsi="Arial" w:cs="Arial"/>
          <w:sz w:val="20"/>
          <w:szCs w:val="20"/>
        </w:rPr>
        <w:t> », </w:t>
      </w:r>
      <w:r w:rsidRPr="00B239F7">
        <w:rPr>
          <w:rFonts w:ascii="Arial" w:hAnsi="Arial" w:cs="Arial"/>
          <w:i/>
          <w:iCs/>
          <w:sz w:val="20"/>
          <w:szCs w:val="20"/>
        </w:rPr>
        <w:t>R.D.C., </w:t>
      </w:r>
      <w:r w:rsidRPr="00B239F7">
        <w:rPr>
          <w:rFonts w:ascii="Arial" w:hAnsi="Arial" w:cs="Arial"/>
          <w:sz w:val="20"/>
          <w:szCs w:val="20"/>
        </w:rPr>
        <w:t>2017, p. 92.</w:t>
      </w:r>
    </w:p>
    <w:p w14:paraId="6BD3A65E" w14:textId="5623EDC6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Le caractère obligatoire de la clause de conciliation est-il toujours soumis à l’existence de conditions particulières de mises en œuvre du processus conciliatoire ? », </w:t>
      </w:r>
      <w:r w:rsidRPr="00B239F7">
        <w:rPr>
          <w:rFonts w:ascii="Arial" w:hAnsi="Arial" w:cs="Arial"/>
          <w:i/>
          <w:iCs/>
          <w:sz w:val="20"/>
          <w:szCs w:val="20"/>
        </w:rPr>
        <w:t>R.D.C., </w:t>
      </w:r>
      <w:r w:rsidRPr="00B239F7">
        <w:rPr>
          <w:rFonts w:ascii="Arial" w:hAnsi="Arial" w:cs="Arial"/>
          <w:sz w:val="20"/>
          <w:szCs w:val="20"/>
        </w:rPr>
        <w:t>2017, p. 94.</w:t>
      </w:r>
    </w:p>
    <w:p w14:paraId="31A24807" w14:textId="08FB4561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Impossibilité pour la caution de se prévaloir du non-respect de la procédure de conciliation prévue par le contrat de prêt au profit du débiteur principal »,</w:t>
      </w:r>
      <w:r w:rsidRPr="00B239F7">
        <w:rPr>
          <w:rFonts w:ascii="Arial" w:hAnsi="Arial" w:cs="Arial"/>
          <w:i/>
          <w:iCs/>
          <w:sz w:val="20"/>
          <w:szCs w:val="20"/>
        </w:rPr>
        <w:t> R.D.C., </w:t>
      </w:r>
      <w:r w:rsidRPr="00B239F7">
        <w:rPr>
          <w:rFonts w:ascii="Arial" w:hAnsi="Arial" w:cs="Arial"/>
          <w:sz w:val="20"/>
          <w:szCs w:val="20"/>
        </w:rPr>
        <w:t>2016, p. 286.</w:t>
      </w:r>
    </w:p>
    <w:p w14:paraId="39B21354" w14:textId="019CE307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Article 1226 : les conditions d’exercice de la résolution unilatérale aux risques et périls du créancier », </w:t>
      </w:r>
      <w:r w:rsidRPr="00B239F7">
        <w:rPr>
          <w:rFonts w:ascii="Arial" w:hAnsi="Arial" w:cs="Arial"/>
          <w:i/>
          <w:iCs/>
          <w:sz w:val="20"/>
          <w:szCs w:val="20"/>
        </w:rPr>
        <w:t>in Projet d’ordonnance portant réforme du droit des contrats : articles choisis, R.D.C., </w:t>
      </w:r>
      <w:r w:rsidRPr="00B239F7">
        <w:rPr>
          <w:rFonts w:ascii="Arial" w:hAnsi="Arial" w:cs="Arial"/>
          <w:sz w:val="20"/>
          <w:szCs w:val="20"/>
        </w:rPr>
        <w:t>2015, p. 788.</w:t>
      </w:r>
    </w:p>
    <w:p w14:paraId="7F9C4EBC" w14:textId="6ECE7993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Bien-fondé des actions de groupe engagées », Intervention dans le colloque de la Revue des Contrats </w:t>
      </w:r>
      <w:r w:rsidRPr="00B239F7">
        <w:rPr>
          <w:rFonts w:ascii="Arial" w:hAnsi="Arial" w:cs="Arial"/>
          <w:i/>
          <w:iCs/>
          <w:sz w:val="20"/>
          <w:szCs w:val="20"/>
        </w:rPr>
        <w:t>Le contrat en l’action de groupe : étude d’un cas</w:t>
      </w:r>
      <w:r w:rsidRPr="00B239F7">
        <w:rPr>
          <w:rFonts w:ascii="Arial" w:hAnsi="Arial" w:cs="Arial"/>
          <w:sz w:val="20"/>
          <w:szCs w:val="20"/>
        </w:rPr>
        <w:t>, </w:t>
      </w:r>
      <w:r w:rsidRPr="00B239F7">
        <w:rPr>
          <w:rFonts w:ascii="Arial" w:hAnsi="Arial" w:cs="Arial"/>
          <w:i/>
          <w:iCs/>
          <w:sz w:val="20"/>
          <w:szCs w:val="20"/>
        </w:rPr>
        <w:t>R.D.C., </w:t>
      </w:r>
      <w:r w:rsidRPr="00B239F7">
        <w:rPr>
          <w:rFonts w:ascii="Arial" w:hAnsi="Arial" w:cs="Arial"/>
          <w:sz w:val="20"/>
          <w:szCs w:val="20"/>
        </w:rPr>
        <w:t>2015, p. 403.</w:t>
      </w:r>
    </w:p>
    <w:p w14:paraId="2A857E9B" w14:textId="1E7FDF33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Absence de régularisation en cours d’instance de la fin de non-recevoir tirée du non-respect de la clause de conciliation »</w:t>
      </w:r>
      <w:r w:rsidRPr="00B239F7">
        <w:rPr>
          <w:rFonts w:ascii="Arial" w:hAnsi="Arial" w:cs="Arial"/>
          <w:i/>
          <w:iCs/>
          <w:sz w:val="20"/>
          <w:szCs w:val="20"/>
        </w:rPr>
        <w:t>, R.D.C.</w:t>
      </w:r>
      <w:r w:rsidRPr="00B239F7">
        <w:rPr>
          <w:rFonts w:ascii="Arial" w:hAnsi="Arial" w:cs="Arial"/>
          <w:sz w:val="20"/>
          <w:szCs w:val="20"/>
        </w:rPr>
        <w:t>, 2015, p. 308.</w:t>
      </w:r>
    </w:p>
    <w:p w14:paraId="5E56C0F8" w14:textId="2E8CF6A1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Invocabilité en tout état de cause de la fin de non-recevoir tirée du non-respect de la clause de conciliation 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2015, p. 311.</w:t>
      </w:r>
    </w:p>
    <w:p w14:paraId="4135E0EE" w14:textId="731DBA7E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Champ d’application de la clause de conciliation 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2015, p. 88.</w:t>
      </w:r>
    </w:p>
    <w:p w14:paraId="4B02E772" w14:textId="2EAD432C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Conséquences du refus fautif d’un contractant d’engager le préalable de conciliation contractuellement prévu 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2015, p. 86.</w:t>
      </w:r>
    </w:p>
    <w:p w14:paraId="4975EA36" w14:textId="1F57EF9D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Vente de l’immeuble et transmission des actions en justice : ordre ou désordre ? 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2014, p. 801</w:t>
      </w:r>
    </w:p>
    <w:p w14:paraId="4BA705BD" w14:textId="21392816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Géolocalisation et loyauté de la preuve 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2014, p. 440</w:t>
      </w:r>
    </w:p>
    <w:p w14:paraId="6194019E" w14:textId="7CE22FDE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lastRenderedPageBreak/>
        <w:t>« Précisions sur la compétence de la Cour d’appel de Paris en matière de pratiques restrictives de concurrence 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2014, p. 84</w:t>
      </w:r>
    </w:p>
    <w:p w14:paraId="060F0210" w14:textId="59BDBC71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La clause de conciliation privée de tout effet dans les contrats de travail », </w:t>
      </w:r>
      <w:r w:rsidRPr="00B239F7">
        <w:rPr>
          <w:rFonts w:ascii="Arial" w:hAnsi="Arial" w:cs="Arial"/>
          <w:i/>
          <w:iCs/>
          <w:sz w:val="20"/>
          <w:szCs w:val="20"/>
        </w:rPr>
        <w:t>R.D.C., </w:t>
      </w:r>
      <w:r w:rsidRPr="00B239F7">
        <w:rPr>
          <w:rFonts w:ascii="Arial" w:hAnsi="Arial" w:cs="Arial"/>
          <w:sz w:val="20"/>
          <w:szCs w:val="20"/>
        </w:rPr>
        <w:t>2013, p. 1010.</w:t>
      </w:r>
    </w:p>
    <w:p w14:paraId="08CED65D" w14:textId="147EF821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proofErr w:type="gramStart"/>
      <w:r w:rsidRPr="00B239F7">
        <w:rPr>
          <w:rFonts w:ascii="Arial" w:hAnsi="Arial" w:cs="Arial"/>
          <w:sz w:val="20"/>
          <w:szCs w:val="20"/>
        </w:rPr>
        <w:t>«  Quand</w:t>
      </w:r>
      <w:proofErr w:type="gramEnd"/>
      <w:r w:rsidRPr="00B239F7">
        <w:rPr>
          <w:rFonts w:ascii="Arial" w:hAnsi="Arial" w:cs="Arial"/>
          <w:sz w:val="20"/>
          <w:szCs w:val="20"/>
        </w:rPr>
        <w:t xml:space="preserve"> la Cour de cassation prive la clause de conciliation de toute portée », </w:t>
      </w:r>
      <w:r w:rsidRPr="00B239F7">
        <w:rPr>
          <w:rFonts w:ascii="Arial" w:hAnsi="Arial" w:cs="Arial"/>
          <w:i/>
          <w:iCs/>
          <w:sz w:val="20"/>
          <w:szCs w:val="20"/>
        </w:rPr>
        <w:t>R.D.C., </w:t>
      </w:r>
      <w:r w:rsidRPr="00B239F7">
        <w:rPr>
          <w:rFonts w:ascii="Arial" w:hAnsi="Arial" w:cs="Arial"/>
          <w:sz w:val="20"/>
          <w:szCs w:val="20"/>
        </w:rPr>
        <w:t>2013, p. 192.</w:t>
      </w:r>
    </w:p>
    <w:p w14:paraId="02026A42" w14:textId="16CF9069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Clause de conciliation et contrat de travail : qui de l’employeur ou du salarié doit prendre l’initiative de mettre en œuvre la clause de conciliation 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2012, p. 888</w:t>
      </w:r>
    </w:p>
    <w:p w14:paraId="31B3097E" w14:textId="4F677697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Le caractère préfix d’un délai ne fait pas obstacle à sa suspension en cas de mise en œuvre de la clause de conciliation 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2012, p. 885</w:t>
      </w:r>
    </w:p>
    <w:p w14:paraId="3C80045D" w14:textId="5ED5DCD7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Confirmation de la possibilité de mettre en œuvre la clause de conciliation en cours de procédure 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2012, p. 884</w:t>
      </w:r>
    </w:p>
    <w:p w14:paraId="1634293F" w14:textId="5FB3EE62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Sort de la clause de conciliation en cas de subrogation 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2012, p. 882</w:t>
      </w:r>
    </w:p>
    <w:p w14:paraId="6A1F17F9" w14:textId="2D5583EE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La frustration des associations de consommateurs face à l’absence d’action de groupe en droit processuel français », </w:t>
      </w:r>
      <w:r w:rsidRPr="00B239F7">
        <w:rPr>
          <w:rFonts w:ascii="Arial" w:hAnsi="Arial" w:cs="Arial"/>
          <w:i/>
          <w:iCs/>
          <w:sz w:val="20"/>
          <w:szCs w:val="20"/>
        </w:rPr>
        <w:t>R.D.C., </w:t>
      </w:r>
      <w:r w:rsidRPr="00B239F7">
        <w:rPr>
          <w:rFonts w:ascii="Arial" w:hAnsi="Arial" w:cs="Arial"/>
          <w:sz w:val="20"/>
          <w:szCs w:val="20"/>
        </w:rPr>
        <w:t>2012, p. 151</w:t>
      </w:r>
    </w:p>
    <w:p w14:paraId="45E78D3D" w14:textId="6020E43C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Nouveau recul de la force obligatoire des clauses de conciliation 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2011, p. 916.</w:t>
      </w:r>
    </w:p>
    <w:p w14:paraId="5F223892" w14:textId="46F653B0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L’ambivalence de l’expertise extrajudiciaire dans le procès », </w:t>
      </w:r>
      <w:r w:rsidRPr="00B239F7">
        <w:rPr>
          <w:rFonts w:ascii="Arial" w:hAnsi="Arial" w:cs="Arial"/>
          <w:i/>
          <w:iCs/>
          <w:sz w:val="20"/>
          <w:szCs w:val="20"/>
        </w:rPr>
        <w:t>R.D.C., </w:t>
      </w:r>
      <w:r w:rsidRPr="00B239F7">
        <w:rPr>
          <w:rFonts w:ascii="Arial" w:hAnsi="Arial" w:cs="Arial"/>
          <w:sz w:val="20"/>
          <w:szCs w:val="20"/>
        </w:rPr>
        <w:t>2011, p. 199.</w:t>
      </w:r>
    </w:p>
    <w:p w14:paraId="3EE129F5" w14:textId="6D300484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Rôle de la mise en demeure dans le mécanisme de la résolution unilatérale aux risques et périls du créancier 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2010, p. 690.</w:t>
      </w:r>
    </w:p>
    <w:p w14:paraId="5F136B94" w14:textId="27ACE356" w:rsidR="00B239F7" w:rsidRPr="00B239F7" w:rsidRDefault="00B239F7" w:rsidP="00B239F7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B239F7">
        <w:rPr>
          <w:rFonts w:ascii="Arial" w:hAnsi="Arial" w:cs="Arial"/>
          <w:sz w:val="20"/>
          <w:szCs w:val="20"/>
        </w:rPr>
        <w:t>« Astreinte, ordonnance sur requête et principe du contradictoire », </w:t>
      </w:r>
      <w:r w:rsidRPr="00B239F7">
        <w:rPr>
          <w:rFonts w:ascii="Arial" w:hAnsi="Arial" w:cs="Arial"/>
          <w:i/>
          <w:iCs/>
          <w:sz w:val="20"/>
          <w:szCs w:val="20"/>
        </w:rPr>
        <w:t>R.D.C.</w:t>
      </w:r>
      <w:r w:rsidRPr="00B239F7">
        <w:rPr>
          <w:rFonts w:ascii="Arial" w:hAnsi="Arial" w:cs="Arial"/>
          <w:sz w:val="20"/>
          <w:szCs w:val="20"/>
        </w:rPr>
        <w:t>, 2010, p. 160.</w:t>
      </w:r>
    </w:p>
    <w:p w14:paraId="42E74DD3" w14:textId="7725290E" w:rsidR="003A1D74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20"/>
          <w:szCs w:val="20"/>
        </w:rPr>
      </w:pPr>
    </w:p>
    <w:p w14:paraId="67A4E689" w14:textId="77777777" w:rsidR="00B239F7" w:rsidRPr="00CE4422" w:rsidRDefault="00B239F7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20"/>
          <w:szCs w:val="20"/>
        </w:rPr>
      </w:pPr>
    </w:p>
    <w:sectPr w:rsidR="00B239F7" w:rsidRPr="00CE4422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0F39" w14:textId="77777777" w:rsidR="009F396F" w:rsidRDefault="009F396F" w:rsidP="00F342F6">
      <w:r>
        <w:separator/>
      </w:r>
    </w:p>
  </w:endnote>
  <w:endnote w:type="continuationSeparator" w:id="0">
    <w:p w14:paraId="754048D6" w14:textId="77777777" w:rsidR="009F396F" w:rsidRDefault="009F396F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82CE8" w14:textId="77777777" w:rsidR="009F396F" w:rsidRDefault="009F396F" w:rsidP="00F342F6">
      <w:r>
        <w:separator/>
      </w:r>
    </w:p>
  </w:footnote>
  <w:footnote w:type="continuationSeparator" w:id="0">
    <w:p w14:paraId="2F57406A" w14:textId="77777777" w:rsidR="009F396F" w:rsidRDefault="009F396F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" w15:restartNumberingAfterBreak="0">
    <w:nsid w:val="19EC1BD8"/>
    <w:multiLevelType w:val="multilevel"/>
    <w:tmpl w:val="DDB8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D1E90"/>
    <w:multiLevelType w:val="multilevel"/>
    <w:tmpl w:val="425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44D14"/>
    <w:multiLevelType w:val="hybridMultilevel"/>
    <w:tmpl w:val="78086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7098B"/>
    <w:multiLevelType w:val="multilevel"/>
    <w:tmpl w:val="96B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7" w15:restartNumberingAfterBreak="0">
    <w:nsid w:val="66F9270B"/>
    <w:multiLevelType w:val="hybridMultilevel"/>
    <w:tmpl w:val="29FAB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E244B"/>
    <w:multiLevelType w:val="hybridMultilevel"/>
    <w:tmpl w:val="36907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93372"/>
    <w:multiLevelType w:val="hybridMultilevel"/>
    <w:tmpl w:val="C01A4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877FC"/>
    <w:multiLevelType w:val="hybridMultilevel"/>
    <w:tmpl w:val="AC5E2FBE"/>
    <w:lvl w:ilvl="0" w:tplc="548C14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013CE"/>
    <w:multiLevelType w:val="hybridMultilevel"/>
    <w:tmpl w:val="92BCE0E4"/>
    <w:lvl w:ilvl="0" w:tplc="C4DA8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1B18A9"/>
    <w:rsid w:val="0020609E"/>
    <w:rsid w:val="002333AF"/>
    <w:rsid w:val="002A3B7F"/>
    <w:rsid w:val="002D7F33"/>
    <w:rsid w:val="002F64FD"/>
    <w:rsid w:val="0032588D"/>
    <w:rsid w:val="0033033D"/>
    <w:rsid w:val="0033345C"/>
    <w:rsid w:val="003A1D74"/>
    <w:rsid w:val="00403D39"/>
    <w:rsid w:val="00422A7E"/>
    <w:rsid w:val="00425E65"/>
    <w:rsid w:val="004373F3"/>
    <w:rsid w:val="0048140F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812ACC"/>
    <w:rsid w:val="00832F66"/>
    <w:rsid w:val="008359B5"/>
    <w:rsid w:val="00854B87"/>
    <w:rsid w:val="008F6F82"/>
    <w:rsid w:val="0098770C"/>
    <w:rsid w:val="009F396F"/>
    <w:rsid w:val="00A22947"/>
    <w:rsid w:val="00A257E7"/>
    <w:rsid w:val="00A25C27"/>
    <w:rsid w:val="00A6224B"/>
    <w:rsid w:val="00A75081"/>
    <w:rsid w:val="00A90834"/>
    <w:rsid w:val="00B111D3"/>
    <w:rsid w:val="00B239F7"/>
    <w:rsid w:val="00B61D6B"/>
    <w:rsid w:val="00B7791E"/>
    <w:rsid w:val="00B82446"/>
    <w:rsid w:val="00BE4192"/>
    <w:rsid w:val="00CE4422"/>
    <w:rsid w:val="00CE7652"/>
    <w:rsid w:val="00CF09F4"/>
    <w:rsid w:val="00CF6BE2"/>
    <w:rsid w:val="00D54EC0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6ACD9-1440-47B4-BE9B-59368DFD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2022-06-07T12:37:00Z</dcterms:created>
  <dcterms:modified xsi:type="dcterms:W3CDTF">2022-06-07T12:37:00Z</dcterms:modified>
</cp:coreProperties>
</file>