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Default="00812ACC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393FA39F" w14:textId="67B931D9" w:rsidR="002D7F33" w:rsidRPr="002D7F33" w:rsidRDefault="00313469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3E3B38"/>
          <w:sz w:val="36"/>
          <w:szCs w:val="36"/>
        </w:rPr>
      </w:pPr>
      <w:bookmarkStart w:id="0" w:name="_GoBack"/>
      <w:proofErr w:type="spellStart"/>
      <w:r>
        <w:rPr>
          <w:rFonts w:ascii="Arial" w:hAnsi="Arial" w:cs="Arial"/>
          <w:b/>
          <w:bCs/>
          <w:color w:val="3E3B38"/>
          <w:sz w:val="36"/>
          <w:szCs w:val="36"/>
        </w:rPr>
        <w:t>Caroula</w:t>
      </w:r>
      <w:proofErr w:type="spellEnd"/>
      <w:r>
        <w:rPr>
          <w:rFonts w:ascii="Arial" w:hAnsi="Arial" w:cs="Arial"/>
          <w:b/>
          <w:bCs/>
          <w:color w:val="3E3B38"/>
          <w:sz w:val="36"/>
          <w:szCs w:val="36"/>
        </w:rPr>
        <w:t xml:space="preserve"> ARGY</w:t>
      </w:r>
      <w:r w:rsidR="000D2E7A">
        <w:rPr>
          <w:rFonts w:ascii="Arial" w:hAnsi="Arial" w:cs="Arial"/>
          <w:b/>
          <w:bCs/>
          <w:color w:val="3E3B38"/>
          <w:sz w:val="36"/>
          <w:szCs w:val="36"/>
        </w:rPr>
        <w:t>RIADIS</w:t>
      </w:r>
    </w:p>
    <w:bookmarkEnd w:id="0"/>
    <w:p w14:paraId="6EB3632C" w14:textId="15F52540" w:rsidR="003A1D74" w:rsidRPr="002D7F33" w:rsidRDefault="000D2E7A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Cs/>
          <w:color w:val="3E3B38"/>
          <w:sz w:val="16"/>
          <w:szCs w:val="20"/>
        </w:rPr>
      </w:pPr>
      <w:r>
        <w:rPr>
          <w:rFonts w:ascii="Arial" w:hAnsi="Arial" w:cs="Arial"/>
          <w:bCs/>
          <w:color w:val="3E3B38"/>
          <w:sz w:val="28"/>
          <w:szCs w:val="36"/>
        </w:rPr>
        <w:t>Professeur des universités en histoire du droit</w:t>
      </w:r>
    </w:p>
    <w:p w14:paraId="25D09437" w14:textId="77777777" w:rsidR="00CE4422" w:rsidRDefault="00CE4422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72F07961" w14:textId="612A37E1" w:rsidR="003A1D74" w:rsidRPr="00CE4422" w:rsidRDefault="000D2E7A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Activités pédagogiques</w:t>
      </w:r>
    </w:p>
    <w:p w14:paraId="166FF2C3" w14:textId="77777777" w:rsidR="003A1D74" w:rsidRPr="003A1D74" w:rsidRDefault="003A1D74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488AF947" w14:textId="77777777" w:rsidR="000D2E7A" w:rsidRPr="000D2E7A" w:rsidRDefault="000D2E7A" w:rsidP="000D2E7A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2E7A">
        <w:rPr>
          <w:rFonts w:ascii="Arial" w:hAnsi="Arial" w:cs="Arial"/>
          <w:color w:val="3E3B38"/>
          <w:sz w:val="18"/>
          <w:szCs w:val="18"/>
        </w:rPr>
        <w:t xml:space="preserve">Professeur d’histoire du droit, Université Cergy-Pontoise (depuis </w:t>
      </w:r>
      <w:proofErr w:type="gramStart"/>
      <w:r w:rsidRPr="000D2E7A">
        <w:rPr>
          <w:rFonts w:ascii="Arial" w:hAnsi="Arial" w:cs="Arial"/>
          <w:color w:val="3E3B38"/>
          <w:sz w:val="18"/>
          <w:szCs w:val="18"/>
        </w:rPr>
        <w:t>2010 )</w:t>
      </w:r>
      <w:proofErr w:type="gramEnd"/>
      <w:r w:rsidRPr="000D2E7A">
        <w:rPr>
          <w:rFonts w:ascii="Arial" w:hAnsi="Arial" w:cs="Arial"/>
          <w:color w:val="3E3B38"/>
          <w:sz w:val="18"/>
          <w:szCs w:val="18"/>
        </w:rPr>
        <w:t xml:space="preserve">         </w:t>
      </w:r>
    </w:p>
    <w:p w14:paraId="168A006C" w14:textId="77777777" w:rsidR="000D2E7A" w:rsidRPr="000D2E7A" w:rsidRDefault="000D2E7A" w:rsidP="000D2E7A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2E7A">
        <w:rPr>
          <w:rFonts w:ascii="Arial" w:hAnsi="Arial" w:cs="Arial"/>
          <w:color w:val="3E3B38"/>
          <w:sz w:val="18"/>
          <w:szCs w:val="18"/>
        </w:rPr>
        <w:t>Docteur en histoire du droit, Université Johann-Wolfgang Goethe, Francfort s. M./Allemagne</w:t>
      </w:r>
    </w:p>
    <w:p w14:paraId="473EEABA" w14:textId="77777777" w:rsidR="000D2E7A" w:rsidRPr="000D2E7A" w:rsidRDefault="000D2E7A" w:rsidP="000D2E7A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2E7A">
        <w:rPr>
          <w:rFonts w:ascii="Arial" w:hAnsi="Arial" w:cs="Arial"/>
          <w:color w:val="3E3B38"/>
          <w:sz w:val="18"/>
          <w:szCs w:val="18"/>
        </w:rPr>
        <w:t>Habilitation à diriger des recherches, Université Paris I</w:t>
      </w:r>
    </w:p>
    <w:p w14:paraId="53BFC3F3" w14:textId="77777777" w:rsidR="000D2E7A" w:rsidRPr="000D2E7A" w:rsidRDefault="000D2E7A" w:rsidP="000D2E7A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2E7A">
        <w:rPr>
          <w:rFonts w:ascii="Arial" w:hAnsi="Arial" w:cs="Arial"/>
          <w:color w:val="3E3B38"/>
          <w:sz w:val="18"/>
          <w:szCs w:val="18"/>
        </w:rPr>
        <w:t>Professeur d’histoire du droit, Université du Havre (2007-2010)</w:t>
      </w:r>
    </w:p>
    <w:p w14:paraId="7ECD2E12" w14:textId="77777777" w:rsidR="000D2E7A" w:rsidRPr="000D2E7A" w:rsidRDefault="000D2E7A" w:rsidP="000D2E7A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2E7A">
        <w:rPr>
          <w:rFonts w:ascii="Arial" w:hAnsi="Arial" w:cs="Arial"/>
          <w:color w:val="3E3B38"/>
          <w:sz w:val="18"/>
          <w:szCs w:val="18"/>
        </w:rPr>
        <w:t>Maître de conférences d’histoire du droit, Université de Rouen (1995-2007)</w:t>
      </w:r>
    </w:p>
    <w:p w14:paraId="206D5EDA" w14:textId="77777777" w:rsidR="000D2E7A" w:rsidRPr="000D2E7A" w:rsidRDefault="000D2E7A" w:rsidP="000D2E7A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2E7A">
        <w:rPr>
          <w:rFonts w:ascii="Arial" w:hAnsi="Arial" w:cs="Arial"/>
          <w:color w:val="3E3B38"/>
          <w:sz w:val="18"/>
          <w:szCs w:val="18"/>
        </w:rPr>
        <w:t xml:space="preserve">MCF </w:t>
      </w:r>
      <w:proofErr w:type="spellStart"/>
      <w:proofErr w:type="gramStart"/>
      <w:r w:rsidRPr="000D2E7A">
        <w:rPr>
          <w:rFonts w:ascii="Arial" w:hAnsi="Arial" w:cs="Arial"/>
          <w:color w:val="3E3B38"/>
          <w:sz w:val="18"/>
          <w:szCs w:val="18"/>
        </w:rPr>
        <w:t>associée,Université</w:t>
      </w:r>
      <w:proofErr w:type="spellEnd"/>
      <w:proofErr w:type="gramEnd"/>
      <w:r w:rsidRPr="000D2E7A">
        <w:rPr>
          <w:rFonts w:ascii="Arial" w:hAnsi="Arial" w:cs="Arial"/>
          <w:color w:val="3E3B38"/>
          <w:sz w:val="18"/>
          <w:szCs w:val="18"/>
        </w:rPr>
        <w:t xml:space="preserve"> Cergy Pontoise (1994-1995)</w:t>
      </w:r>
    </w:p>
    <w:p w14:paraId="1EDCA3D8" w14:textId="77777777" w:rsidR="000D2E7A" w:rsidRPr="000D2E7A" w:rsidRDefault="000D2E7A" w:rsidP="000D2E7A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2E7A">
        <w:rPr>
          <w:rFonts w:ascii="Arial" w:hAnsi="Arial" w:cs="Arial"/>
          <w:color w:val="3E3B38"/>
          <w:sz w:val="18"/>
          <w:szCs w:val="18"/>
        </w:rPr>
        <w:t>Chercheuse invitée, Université de Berkeley (Robbins Collection), USA (1993)</w:t>
      </w:r>
    </w:p>
    <w:p w14:paraId="1186565C" w14:textId="77777777" w:rsidR="000D2E7A" w:rsidRPr="000D2E7A" w:rsidRDefault="000D2E7A" w:rsidP="000D2E7A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2E7A">
        <w:rPr>
          <w:rFonts w:ascii="Arial" w:hAnsi="Arial" w:cs="Arial"/>
          <w:color w:val="3E3B38"/>
          <w:sz w:val="18"/>
          <w:szCs w:val="18"/>
        </w:rPr>
        <w:t>Assistante à la chaire de droit romain à l’Université de Freiburg i. Br./</w:t>
      </w:r>
      <w:proofErr w:type="spellStart"/>
      <w:r w:rsidRPr="000D2E7A">
        <w:rPr>
          <w:rFonts w:ascii="Arial" w:hAnsi="Arial" w:cs="Arial"/>
          <w:color w:val="3E3B38"/>
          <w:sz w:val="18"/>
          <w:szCs w:val="18"/>
        </w:rPr>
        <w:t>Allem</w:t>
      </w:r>
      <w:proofErr w:type="spellEnd"/>
      <w:r w:rsidRPr="000D2E7A">
        <w:rPr>
          <w:rFonts w:ascii="Arial" w:hAnsi="Arial" w:cs="Arial"/>
          <w:color w:val="3E3B38"/>
          <w:sz w:val="18"/>
          <w:szCs w:val="18"/>
        </w:rPr>
        <w:t>. (1992)</w:t>
      </w:r>
    </w:p>
    <w:p w14:paraId="69ABC66F" w14:textId="77777777" w:rsidR="000D2E7A" w:rsidRPr="000D2E7A" w:rsidRDefault="000D2E7A" w:rsidP="000D2E7A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0D2E7A">
        <w:rPr>
          <w:rFonts w:ascii="Arial" w:hAnsi="Arial" w:cs="Arial"/>
          <w:color w:val="3E3B38"/>
          <w:sz w:val="18"/>
          <w:szCs w:val="18"/>
        </w:rPr>
        <w:t xml:space="preserve">Chercheuse à temps plein à l’Institut Max Planck pour l’histoire européenne du </w:t>
      </w:r>
      <w:proofErr w:type="spellStart"/>
      <w:proofErr w:type="gramStart"/>
      <w:r w:rsidRPr="000D2E7A">
        <w:rPr>
          <w:rFonts w:ascii="Arial" w:hAnsi="Arial" w:cs="Arial"/>
          <w:color w:val="3E3B38"/>
          <w:sz w:val="18"/>
          <w:szCs w:val="18"/>
        </w:rPr>
        <w:t>droit,Université</w:t>
      </w:r>
      <w:proofErr w:type="spellEnd"/>
      <w:proofErr w:type="gramEnd"/>
      <w:r w:rsidRPr="000D2E7A">
        <w:rPr>
          <w:rFonts w:ascii="Arial" w:hAnsi="Arial" w:cs="Arial"/>
          <w:color w:val="3E3B38"/>
          <w:sz w:val="18"/>
          <w:szCs w:val="18"/>
        </w:rPr>
        <w:t xml:space="preserve"> de Francfort /M., Allemagne (1984-1992)</w:t>
      </w:r>
    </w:p>
    <w:p w14:paraId="42E74DD3" w14:textId="7DE8874F" w:rsidR="003A1D74" w:rsidRPr="000D2E7A" w:rsidRDefault="000D2E7A" w:rsidP="000D2E7A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0D2E7A">
        <w:rPr>
          <w:rFonts w:ascii="Arial" w:hAnsi="Arial" w:cs="Arial"/>
          <w:sz w:val="18"/>
          <w:szCs w:val="18"/>
        </w:rPr>
        <w:t>Chercheuse à temps plein à l’équipe pour l’histoire du droit byzantin (financée par la DFG), Université de Francfort /M., Allemagne (1983-1984)</w:t>
      </w:r>
    </w:p>
    <w:p w14:paraId="4DAC4B41" w14:textId="77777777" w:rsidR="00CE4422" w:rsidRDefault="00CE4422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6127EED2" w14:textId="2A76D983" w:rsidR="003A1D74" w:rsidRPr="00CE4422" w:rsidRDefault="000D2E7A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Fonctions administratives</w:t>
      </w:r>
    </w:p>
    <w:p w14:paraId="5401D371" w14:textId="77777777" w:rsidR="003A1D74" w:rsidRPr="000D2E7A" w:rsidRDefault="003A1D74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6979A9D5" w14:textId="77777777" w:rsidR="000D2E7A" w:rsidRPr="000D2E7A" w:rsidRDefault="000D2E7A" w:rsidP="000D2E7A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0D2E7A">
        <w:rPr>
          <w:rFonts w:ascii="Arial" w:hAnsi="Arial" w:cs="Arial"/>
          <w:sz w:val="18"/>
          <w:szCs w:val="18"/>
        </w:rPr>
        <w:t>Membre du Conseil Académique de l’Université de Cergy-Pontoise (depuis 2016)</w:t>
      </w:r>
    </w:p>
    <w:p w14:paraId="7B753335" w14:textId="77777777" w:rsidR="000D2E7A" w:rsidRPr="000D2E7A" w:rsidRDefault="000D2E7A" w:rsidP="000D2E7A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0D2E7A">
        <w:rPr>
          <w:rFonts w:ascii="Arial" w:hAnsi="Arial" w:cs="Arial"/>
          <w:sz w:val="18"/>
          <w:szCs w:val="18"/>
        </w:rPr>
        <w:t>Membre du conseil scientifique et du conseil d’UFR de l’Université du Havre (2007-2010)</w:t>
      </w:r>
    </w:p>
    <w:p w14:paraId="5A3A687F" w14:textId="77777777" w:rsidR="000D2E7A" w:rsidRPr="000D2E7A" w:rsidRDefault="000D2E7A" w:rsidP="000D2E7A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0D2E7A">
        <w:rPr>
          <w:rFonts w:ascii="Arial" w:hAnsi="Arial" w:cs="Arial"/>
          <w:sz w:val="18"/>
          <w:szCs w:val="18"/>
        </w:rPr>
        <w:t xml:space="preserve">Responsable du Master européen Erasmus </w:t>
      </w:r>
      <w:proofErr w:type="spellStart"/>
      <w:r w:rsidRPr="000D2E7A">
        <w:rPr>
          <w:rFonts w:ascii="Arial" w:hAnsi="Arial" w:cs="Arial"/>
          <w:sz w:val="18"/>
          <w:szCs w:val="18"/>
        </w:rPr>
        <w:t>Mundus</w:t>
      </w:r>
      <w:proofErr w:type="spellEnd"/>
      <w:r w:rsidRPr="000D2E7A">
        <w:rPr>
          <w:rFonts w:ascii="Arial" w:hAnsi="Arial" w:cs="Arial"/>
          <w:sz w:val="18"/>
          <w:szCs w:val="18"/>
        </w:rPr>
        <w:t xml:space="preserve"> LLM « Pratique européenne du droit » à l’Université de Rouen, puis à celle du Havre (Consortium avec les universités de Hanovre, Univ Catholique de Lisbonne, </w:t>
      </w:r>
      <w:proofErr w:type="spellStart"/>
      <w:r w:rsidRPr="000D2E7A">
        <w:rPr>
          <w:rFonts w:ascii="Arial" w:hAnsi="Arial" w:cs="Arial"/>
          <w:sz w:val="18"/>
          <w:szCs w:val="18"/>
        </w:rPr>
        <w:t>Symbiosis</w:t>
      </w:r>
      <w:proofErr w:type="spellEnd"/>
      <w:r w:rsidRPr="000D2E7A">
        <w:rPr>
          <w:rFonts w:ascii="Arial" w:hAnsi="Arial" w:cs="Arial"/>
          <w:sz w:val="18"/>
          <w:szCs w:val="18"/>
        </w:rPr>
        <w:t xml:space="preserve"> Law </w:t>
      </w:r>
      <w:proofErr w:type="spellStart"/>
      <w:r w:rsidRPr="000D2E7A">
        <w:rPr>
          <w:rFonts w:ascii="Arial" w:hAnsi="Arial" w:cs="Arial"/>
          <w:sz w:val="18"/>
          <w:szCs w:val="18"/>
        </w:rPr>
        <w:t>College</w:t>
      </w:r>
      <w:proofErr w:type="spellEnd"/>
      <w:r w:rsidRPr="000D2E7A">
        <w:rPr>
          <w:rFonts w:ascii="Arial" w:hAnsi="Arial" w:cs="Arial"/>
          <w:sz w:val="18"/>
          <w:szCs w:val="18"/>
        </w:rPr>
        <w:t>, Pune/</w:t>
      </w:r>
      <w:proofErr w:type="spellStart"/>
      <w:r w:rsidRPr="000D2E7A">
        <w:rPr>
          <w:rFonts w:ascii="Arial" w:hAnsi="Arial" w:cs="Arial"/>
          <w:sz w:val="18"/>
          <w:szCs w:val="18"/>
        </w:rPr>
        <w:t>India</w:t>
      </w:r>
      <w:proofErr w:type="spellEnd"/>
      <w:r w:rsidRPr="000D2E7A">
        <w:rPr>
          <w:rFonts w:ascii="Arial" w:hAnsi="Arial" w:cs="Arial"/>
          <w:sz w:val="18"/>
          <w:szCs w:val="18"/>
        </w:rPr>
        <w:t xml:space="preserve">, Univ. </w:t>
      </w:r>
      <w:proofErr w:type="spellStart"/>
      <w:r w:rsidRPr="000D2E7A">
        <w:rPr>
          <w:rFonts w:ascii="Arial" w:hAnsi="Arial" w:cs="Arial"/>
          <w:sz w:val="18"/>
          <w:szCs w:val="18"/>
        </w:rPr>
        <w:t>Planalto</w:t>
      </w:r>
      <w:proofErr w:type="spellEnd"/>
      <w:r w:rsidRPr="000D2E7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sz w:val="18"/>
          <w:szCs w:val="18"/>
        </w:rPr>
        <w:t>Cetral</w:t>
      </w:r>
      <w:proofErr w:type="spellEnd"/>
      <w:r w:rsidRPr="000D2E7A">
        <w:rPr>
          <w:rFonts w:ascii="Arial" w:hAnsi="Arial" w:cs="Arial"/>
          <w:sz w:val="18"/>
          <w:szCs w:val="18"/>
        </w:rPr>
        <w:t xml:space="preserve">, Brasilia/Brésil, </w:t>
      </w:r>
      <w:proofErr w:type="spellStart"/>
      <w:r w:rsidRPr="000D2E7A">
        <w:rPr>
          <w:rFonts w:ascii="Arial" w:hAnsi="Arial" w:cs="Arial"/>
          <w:sz w:val="18"/>
          <w:szCs w:val="18"/>
        </w:rPr>
        <w:t>Jiao</w:t>
      </w:r>
      <w:proofErr w:type="spellEnd"/>
      <w:r w:rsidRPr="000D2E7A">
        <w:rPr>
          <w:rFonts w:ascii="Arial" w:hAnsi="Arial" w:cs="Arial"/>
          <w:sz w:val="18"/>
          <w:szCs w:val="18"/>
        </w:rPr>
        <w:t xml:space="preserve"> Tong Univ. </w:t>
      </w:r>
      <w:proofErr w:type="spellStart"/>
      <w:r w:rsidRPr="000D2E7A">
        <w:rPr>
          <w:rFonts w:ascii="Arial" w:hAnsi="Arial" w:cs="Arial"/>
          <w:sz w:val="18"/>
          <w:szCs w:val="18"/>
        </w:rPr>
        <w:t>Shangai</w:t>
      </w:r>
      <w:proofErr w:type="spellEnd"/>
      <w:r w:rsidRPr="000D2E7A">
        <w:rPr>
          <w:rFonts w:ascii="Arial" w:hAnsi="Arial" w:cs="Arial"/>
          <w:sz w:val="18"/>
          <w:szCs w:val="18"/>
        </w:rPr>
        <w:t>/</w:t>
      </w:r>
      <w:proofErr w:type="gramStart"/>
      <w:r w:rsidRPr="000D2E7A">
        <w:rPr>
          <w:rFonts w:ascii="Arial" w:hAnsi="Arial" w:cs="Arial"/>
          <w:sz w:val="18"/>
          <w:szCs w:val="18"/>
        </w:rPr>
        <w:t>Chine )</w:t>
      </w:r>
      <w:proofErr w:type="gramEnd"/>
      <w:r w:rsidRPr="000D2E7A">
        <w:rPr>
          <w:rFonts w:ascii="Arial" w:hAnsi="Arial" w:cs="Arial"/>
          <w:sz w:val="18"/>
          <w:szCs w:val="18"/>
        </w:rPr>
        <w:t xml:space="preserve"> (2004-2010)</w:t>
      </w:r>
    </w:p>
    <w:p w14:paraId="0DC7ADE0" w14:textId="77777777" w:rsidR="000D2E7A" w:rsidRPr="000D2E7A" w:rsidRDefault="000D2E7A" w:rsidP="000D2E7A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0D2E7A">
        <w:rPr>
          <w:rFonts w:ascii="Arial" w:hAnsi="Arial" w:cs="Arial"/>
          <w:sz w:val="18"/>
          <w:szCs w:val="18"/>
        </w:rPr>
        <w:t>Responsable des Relations Internationales de la faculté de droit de l’Université de Rouen (2004-2007)</w:t>
      </w:r>
    </w:p>
    <w:p w14:paraId="0F5E1DA8" w14:textId="406626C4" w:rsidR="003A1D74" w:rsidRPr="000D2E7A" w:rsidRDefault="000D2E7A" w:rsidP="000D2E7A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0D2E7A">
        <w:rPr>
          <w:rFonts w:ascii="Arial" w:hAnsi="Arial" w:cs="Arial"/>
          <w:sz w:val="18"/>
          <w:szCs w:val="18"/>
        </w:rPr>
        <w:t>Avocate au Barreau d’Athènes (1984-2006)</w:t>
      </w:r>
      <w:r w:rsidR="003A1D74" w:rsidRPr="000D2E7A">
        <w:rPr>
          <w:rFonts w:ascii="Arial" w:hAnsi="Arial" w:cs="Arial"/>
          <w:sz w:val="18"/>
          <w:szCs w:val="18"/>
        </w:rPr>
        <w:t>.</w:t>
      </w:r>
    </w:p>
    <w:p w14:paraId="6847FD53" w14:textId="400BB120" w:rsidR="00FA24D4" w:rsidRDefault="00FA24D4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772D1F99" w14:textId="0509197B" w:rsidR="000D2E7A" w:rsidRPr="00CE4422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Domaines de recherche</w:t>
      </w:r>
    </w:p>
    <w:p w14:paraId="1B97020D" w14:textId="19222DB7" w:rsid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184DEA78" w14:textId="77777777" w:rsidR="000D2E7A" w:rsidRPr="000D2E7A" w:rsidRDefault="000D2E7A" w:rsidP="000D2E7A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20"/>
        </w:rPr>
      </w:pPr>
      <w:r w:rsidRPr="000D2E7A">
        <w:rPr>
          <w:rFonts w:ascii="Arial" w:hAnsi="Arial" w:cs="Arial"/>
          <w:sz w:val="18"/>
          <w:szCs w:val="20"/>
        </w:rPr>
        <w:t>Histoire comparée du droit (France, Allemagne, Grèce XIXe –XXe s.)</w:t>
      </w:r>
    </w:p>
    <w:p w14:paraId="0028C9A6" w14:textId="77777777" w:rsidR="000D2E7A" w:rsidRPr="000D2E7A" w:rsidRDefault="000D2E7A" w:rsidP="000D2E7A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20"/>
        </w:rPr>
      </w:pPr>
      <w:r w:rsidRPr="000D2E7A">
        <w:rPr>
          <w:rFonts w:ascii="Arial" w:hAnsi="Arial" w:cs="Arial"/>
          <w:sz w:val="18"/>
          <w:szCs w:val="20"/>
        </w:rPr>
        <w:t>Histoire de la pensée juridique et des idées politiques</w:t>
      </w:r>
    </w:p>
    <w:p w14:paraId="37CCA6CB" w14:textId="77777777" w:rsidR="000D2E7A" w:rsidRPr="000D2E7A" w:rsidRDefault="000D2E7A" w:rsidP="000D2E7A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20"/>
        </w:rPr>
      </w:pPr>
      <w:r w:rsidRPr="000D2E7A">
        <w:rPr>
          <w:rFonts w:ascii="Arial" w:hAnsi="Arial" w:cs="Arial"/>
          <w:sz w:val="18"/>
          <w:szCs w:val="20"/>
        </w:rPr>
        <w:t>Histoire du droit public envisagé sous un angle comparatiste</w:t>
      </w:r>
    </w:p>
    <w:p w14:paraId="41278A25" w14:textId="77777777" w:rsidR="000D2E7A" w:rsidRPr="000D2E7A" w:rsidRDefault="000D2E7A" w:rsidP="000D2E7A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20"/>
        </w:rPr>
      </w:pPr>
      <w:r w:rsidRPr="000D2E7A">
        <w:rPr>
          <w:rFonts w:ascii="Arial" w:hAnsi="Arial" w:cs="Arial"/>
          <w:sz w:val="18"/>
          <w:szCs w:val="20"/>
        </w:rPr>
        <w:t>Histoire du droit grec moderne</w:t>
      </w:r>
    </w:p>
    <w:p w14:paraId="4F408625" w14:textId="7C46F497" w:rsidR="000D2E7A" w:rsidRPr="000D2E7A" w:rsidRDefault="000D2E7A" w:rsidP="000D2E7A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20"/>
        </w:rPr>
      </w:pPr>
      <w:r w:rsidRPr="000D2E7A">
        <w:rPr>
          <w:rFonts w:ascii="Arial" w:hAnsi="Arial" w:cs="Arial"/>
          <w:sz w:val="18"/>
          <w:szCs w:val="20"/>
        </w:rPr>
        <w:t>Histoire comparée du droit administratif</w:t>
      </w:r>
    </w:p>
    <w:p w14:paraId="49223EFD" w14:textId="41D74CBF" w:rsid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49234373" w14:textId="461A1C36" w:rsid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Publications (sélection)</w:t>
      </w:r>
    </w:p>
    <w:p w14:paraId="72B92253" w14:textId="4366BAC5" w:rsid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447F0937" w14:textId="77777777" w:rsidR="000D2E7A" w:rsidRP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0D2E7A">
        <w:rPr>
          <w:rFonts w:ascii="Arial" w:hAnsi="Arial" w:cs="Arial"/>
          <w:b/>
          <w:bCs/>
          <w:sz w:val="18"/>
          <w:szCs w:val="18"/>
        </w:rPr>
        <w:t>Ouvrage</w:t>
      </w:r>
    </w:p>
    <w:p w14:paraId="5891613D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proofErr w:type="spellStart"/>
      <w:r w:rsidRPr="000D2E7A">
        <w:rPr>
          <w:rFonts w:ascii="Arial" w:hAnsi="Arial" w:cs="Arial"/>
          <w:bCs/>
          <w:sz w:val="18"/>
          <w:szCs w:val="18"/>
        </w:rPr>
        <w:t>Staatsbilder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und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Rechtspraktiken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Über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den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Bildungsprozess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des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neugriechischen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Staates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(1821-1827) [Images de l'Etat et pratiques judiciaires. Le processus de formation de l'Etat grec moderne], Frankfurt/New York, Peter Lang, 1994, 216 p.</w:t>
      </w:r>
    </w:p>
    <w:p w14:paraId="7665DF4E" w14:textId="58D0DD31" w:rsidR="000D2E7A" w:rsidRP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</w:p>
    <w:p w14:paraId="25AB36FE" w14:textId="77777777" w:rsidR="000D2E7A" w:rsidRP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0D2E7A">
        <w:rPr>
          <w:rFonts w:ascii="Arial" w:hAnsi="Arial" w:cs="Arial"/>
          <w:b/>
          <w:bCs/>
          <w:sz w:val="18"/>
          <w:szCs w:val="18"/>
        </w:rPr>
        <w:t xml:space="preserve"> Activité éditoriale</w:t>
      </w:r>
    </w:p>
    <w:p w14:paraId="346966C5" w14:textId="77777777" w:rsidR="000D2E7A" w:rsidRP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18"/>
          <w:szCs w:val="18"/>
        </w:rPr>
      </w:pPr>
    </w:p>
    <w:p w14:paraId="4A986BC2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lastRenderedPageBreak/>
        <w:t xml:space="preserve">Langues et Nations au XIXème siècle sous la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dir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. de C.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Argyriadis-Kervegan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et G. Bacot, Revue française d’histoire des Idées Politiques, No 48-2ème sem. 2018, actes du colloque Langues et Nations au XIXème siècle, Univ. </w:t>
      </w:r>
      <w:proofErr w:type="gramStart"/>
      <w:r w:rsidRPr="000D2E7A">
        <w:rPr>
          <w:rFonts w:ascii="Arial" w:hAnsi="Arial" w:cs="Arial"/>
          <w:bCs/>
          <w:sz w:val="18"/>
          <w:szCs w:val="18"/>
        </w:rPr>
        <w:t>de</w:t>
      </w:r>
      <w:proofErr w:type="gramEnd"/>
      <w:r w:rsidRPr="000D2E7A">
        <w:rPr>
          <w:rFonts w:ascii="Arial" w:hAnsi="Arial" w:cs="Arial"/>
          <w:bCs/>
          <w:sz w:val="18"/>
          <w:szCs w:val="18"/>
        </w:rPr>
        <w:t xml:space="preserve"> Cergy-Pontoise, 9 juin 2017</w:t>
      </w:r>
    </w:p>
    <w:p w14:paraId="546AC34C" w14:textId="77777777" w:rsidR="000D2E7A" w:rsidRP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</w:p>
    <w:p w14:paraId="1ED321F0" w14:textId="77777777" w:rsidR="000D2E7A" w:rsidRP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0D2E7A">
        <w:rPr>
          <w:rFonts w:ascii="Arial" w:hAnsi="Arial" w:cs="Arial"/>
          <w:b/>
          <w:bCs/>
          <w:sz w:val="18"/>
          <w:szCs w:val="18"/>
        </w:rPr>
        <w:t xml:space="preserve"> Articles et contributions à des ouvrages</w:t>
      </w:r>
    </w:p>
    <w:p w14:paraId="24C9BA2C" w14:textId="77777777" w:rsidR="000D2E7A" w:rsidRP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</w:p>
    <w:p w14:paraId="69F7F67C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«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Armenopoulos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et l'esprit du temps »,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Rechtshistorisches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Journal 3 (1984), pp. 243-251 (en allemand)</w:t>
      </w:r>
    </w:p>
    <w:p w14:paraId="70D9B400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«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Leolex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», (avec L.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Burgmann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et M.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Herberger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)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Rechtshistorisches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Journal 3 (1984), pp. 111-114</w:t>
      </w:r>
    </w:p>
    <w:p w14:paraId="7D63936D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« Ordres juridiques périphériques et histoire de la codification en Grèce »,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Nomiko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Bema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34, 10 (1986) (en grec)</w:t>
      </w:r>
    </w:p>
    <w:p w14:paraId="70E7F015" w14:textId="1A2C4DBC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« Le processus de formation d'un Etat périphérique : la Grèce (1821-1827) »,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Rechtshistorisches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Journal, 6 (1987), pp. 158-172 (en allemand)</w:t>
      </w:r>
    </w:p>
    <w:p w14:paraId="45D9B4E3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« Grèce (1800-1945) », dans F.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Ranieri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dir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.),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Gedruckte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Quellen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der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Rechtsprechung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in Europa, Frankfurt,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Klostermann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1992 (Publications du Max-Planck-Institut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für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europäische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Rechtsgeschichte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), pp. 463-487 (en allemand)</w:t>
      </w:r>
    </w:p>
    <w:p w14:paraId="4E5596F7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« Du notaire à l’avocat : métamorphose du juriste et transformations sociales en Grèce au XIXe siècle », dans A.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Mazzacane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et C.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Vano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dir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.),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Università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e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professioni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giuridiche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in Europa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nell’età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liberale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, Naples, 1994, p. 371-388 (en italien)</w:t>
      </w:r>
    </w:p>
    <w:p w14:paraId="7CD6AF07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Entrées :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Mpales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Paparregopoulos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Pappoulias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Polygenes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N.N.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Saripolos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Svolos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Triantafyllopoulos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Zepos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dans M.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Stolleis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dir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.),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Juristen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Ein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biographisches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Lexikon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München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, Beck, 1994, pp. 443 sq., 472 sq., 474 sq., 494 sq., 538 sq., 600 sq., 618 sq., 670 sq. (en allemand).</w:t>
      </w:r>
    </w:p>
    <w:p w14:paraId="1A1BD0B8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>« La transmission des sources juridiques byzantines durant l’occupation ottomane en Grèce », dans R. Lauer et P. Schreiner (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dir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.), Die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Kultur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Griechenlands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in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Mittelalter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und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Neuzeit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Colloque de la Commission du Sud-Est Européen de l’Académie de Göttingen,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Vanderhoeck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et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Ruprecht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, 1996, pp. 374-386 (en allemand)</w:t>
      </w:r>
    </w:p>
    <w:p w14:paraId="2E1CDB97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« La métaphore dans le langage politique en Grèce durant la période 1822-1827 », dans le volume A la mémoire du professeur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Alcis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Argyriadis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, Athènes, 1995, p. 71-81 (en grec)</w:t>
      </w:r>
    </w:p>
    <w:p w14:paraId="1DBDDA0B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>« La transformation des concepts de représentation et de loi en Grèce au début du XIXe siècle », dans Fr. Burdeau (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dir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.), Administration et droit. Actes des journées de la Société d’Histoire du droit, LGDJ, 1996, p. 273-283</w:t>
      </w:r>
    </w:p>
    <w:p w14:paraId="3D02F64F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  <w:lang w:val="en-US"/>
        </w:rPr>
      </w:pPr>
      <w:r w:rsidRPr="000D2E7A">
        <w:rPr>
          <w:rFonts w:ascii="Arial" w:hAnsi="Arial" w:cs="Arial"/>
          <w:bCs/>
          <w:sz w:val="18"/>
          <w:szCs w:val="18"/>
          <w:lang w:val="en-US"/>
        </w:rPr>
        <w:t xml:space="preserve">« Byzantine law as practice and as history in the nineteenth century », dans David Ricks et Paul </w:t>
      </w:r>
      <w:proofErr w:type="spellStart"/>
      <w:r w:rsidRPr="000D2E7A">
        <w:rPr>
          <w:rFonts w:ascii="Arial" w:hAnsi="Arial" w:cs="Arial"/>
          <w:bCs/>
          <w:sz w:val="18"/>
          <w:szCs w:val="18"/>
          <w:lang w:val="en-US"/>
        </w:rPr>
        <w:t>Magdalino</w:t>
      </w:r>
      <w:proofErr w:type="spellEnd"/>
      <w:r w:rsidRPr="000D2E7A">
        <w:rPr>
          <w:rFonts w:ascii="Arial" w:hAnsi="Arial" w:cs="Arial"/>
          <w:bCs/>
          <w:sz w:val="18"/>
          <w:szCs w:val="18"/>
          <w:lang w:val="en-US"/>
        </w:rPr>
        <w:t xml:space="preserve"> (dir.), Byzantium and the Modern Greek Identity, Center for Hellenic Studies, King's College, London, 1998, pp. 35-47</w:t>
      </w:r>
    </w:p>
    <w:p w14:paraId="3B14195F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« N.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Saripolos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et la théorie de la législation en Grèce au début du XXe siècle » (en grec), dans Digesta. Etudes d’histoire du droit, semestre d’été 2000, p.103-119</w:t>
      </w:r>
    </w:p>
    <w:p w14:paraId="56BD2C89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« Les recherches sur l’histoire du droit du XIXe siècle en Grèce »,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Zeitschrift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für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Neuere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Rechtsgeschichte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, 23e année, 1/2 (2001), pp. 121-133 (en allemand)</w:t>
      </w:r>
    </w:p>
    <w:p w14:paraId="01F8E37F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« Rhigas et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Corais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deux visions de la renaissance de la Grèce », dans Rhigas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Velestinlis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Intellectuel et combattant de la Liberté, Unesco, 2002, pp. 267-278</w:t>
      </w:r>
    </w:p>
    <w:p w14:paraId="530732E0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« Rudolf von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Gneist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: la justice administrative, institution nécessaire de l’Etat de droit », dans O.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Jouanjan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dir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.), Figures de l’Etat de droit. Le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Rechtsstaat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dans l’histoire intellectuelle et constitutionnelle de l’Allemagne, Presses Universitaires de Strasbourg, 2001, p. 235-252.</w:t>
      </w:r>
    </w:p>
    <w:p w14:paraId="2D7B2F9F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>« L’administration locale entre nature et Etat », Revue française d’Histoire des idées politiques 23, 1er sem. 2006, p. 83-128</w:t>
      </w:r>
    </w:p>
    <w:p w14:paraId="1C8D9F4D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>« Rapprochements entre la théorie de Maurice Hauriou et la doctrine publiciste allemande de la fin du XIXe et du début du XXe siècle », dans J.-Ph. Bras (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dir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.), L’institution, Passé et avenir d’une catégorie juridique,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L’Harmattan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, 2008, pp. 123-151.</w:t>
      </w:r>
    </w:p>
    <w:p w14:paraId="25F9942D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>« L’histoire du Droit Européen et son enseignement dans un contexte mondialisé », dans de B. H. Oppermann (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dir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.), International Legal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Studies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by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European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Scholars of the ELPIS Network,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Universitätsverlag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Halle-Wittenberg, 2009, pp. 11-18</w:t>
      </w:r>
    </w:p>
    <w:p w14:paraId="5688D9B0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>« Une conception théocentrique des droits de l’homme : F.J. Stahl », dans Droit naturel et droits de l’homme, textes réunis par Martial Mathieu, Société d’histoire du droit, Actes des Journées Internationales 2009 (Grenoble-Vizille), PUG, 2011, pp. 151-166.</w:t>
      </w:r>
    </w:p>
    <w:p w14:paraId="2D25A758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lastRenderedPageBreak/>
        <w:t xml:space="preserve">« La science juridique grecque et la pensée française au XIXe siècle. Rapprochements dans le domaine du droit public » dans La France et la Grèce au XIXe siècle, Fondation du parlement grec pour le parlementarisme et la démocratie, éd.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Ev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Chrysos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/ Chr.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Farnaud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, Athènes 2012, pp. 177-189 (en grec)</w:t>
      </w:r>
    </w:p>
    <w:p w14:paraId="1891A261" w14:textId="77777777" w:rsidR="000D2E7A" w:rsidRP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</w:p>
    <w:p w14:paraId="260F1AB0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proofErr w:type="gramStart"/>
      <w:r w:rsidRPr="000D2E7A">
        <w:rPr>
          <w:rFonts w:ascii="Arial" w:hAnsi="Arial" w:cs="Arial"/>
          <w:bCs/>
          <w:sz w:val="18"/>
          <w:szCs w:val="18"/>
        </w:rPr>
        <w:t>«Théories</w:t>
      </w:r>
      <w:proofErr w:type="gramEnd"/>
      <w:r w:rsidRPr="000D2E7A">
        <w:rPr>
          <w:rFonts w:ascii="Arial" w:hAnsi="Arial" w:cs="Arial"/>
          <w:bCs/>
          <w:sz w:val="18"/>
          <w:szCs w:val="18"/>
        </w:rPr>
        <w:t xml:space="preserve"> autour de la fonction royale en Grèce lors de la seconde moitié du XIXe siècle »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Antecessor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Mélanges en honneur du prof.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Sp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Troianos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sous la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dir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. de V.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Leontaritou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K.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Bourdara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E.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Papagianni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Sakoulas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, Athènes 2013, p. 85-105 (en grec)</w:t>
      </w:r>
    </w:p>
    <w:p w14:paraId="358F69C3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« Rousseau lu par Friedrich Julius Stahl : le désaccord parfait », dans Rousseau chez les juristes sous la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dir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. de C.M. Herrera,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Kimé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, 2013, p.27-42</w:t>
      </w:r>
    </w:p>
    <w:p w14:paraId="7E7611A7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« Friedrich Julius Stahl et la monarchie constitutionnelle française » dans Histoire, peuple et </w:t>
      </w:r>
      <w:proofErr w:type="gramStart"/>
      <w:r w:rsidRPr="000D2E7A">
        <w:rPr>
          <w:rFonts w:ascii="Arial" w:hAnsi="Arial" w:cs="Arial"/>
          <w:bCs/>
          <w:sz w:val="18"/>
          <w:szCs w:val="18"/>
        </w:rPr>
        <w:t>droit  Mélanges</w:t>
      </w:r>
      <w:proofErr w:type="gramEnd"/>
      <w:r w:rsidRPr="000D2E7A">
        <w:rPr>
          <w:rFonts w:ascii="Arial" w:hAnsi="Arial" w:cs="Arial"/>
          <w:bCs/>
          <w:sz w:val="18"/>
          <w:szCs w:val="18"/>
        </w:rPr>
        <w:t xml:space="preserve"> offerts au professeur Jacques Bouveresse, textes réunis par G. Davy, R. Eckert et V. Lemonnier –Lesage, PURH, 2014, p. 207-222</w:t>
      </w:r>
    </w:p>
    <w:p w14:paraId="421FB861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  <w:lang w:val="en-US"/>
        </w:rPr>
      </w:pPr>
      <w:r w:rsidRPr="000D2E7A">
        <w:rPr>
          <w:rFonts w:ascii="Arial" w:hAnsi="Arial" w:cs="Arial"/>
          <w:bCs/>
          <w:sz w:val="18"/>
          <w:szCs w:val="18"/>
          <w:lang w:val="en-US"/>
        </w:rPr>
        <w:t xml:space="preserve">« Ancient and new </w:t>
      </w:r>
      <w:proofErr w:type="gramStart"/>
      <w:r w:rsidRPr="000D2E7A">
        <w:rPr>
          <w:rFonts w:ascii="Arial" w:hAnsi="Arial" w:cs="Arial"/>
          <w:bCs/>
          <w:sz w:val="18"/>
          <w:szCs w:val="18"/>
          <w:lang w:val="en-US"/>
        </w:rPr>
        <w:t>globalization :</w:t>
      </w:r>
      <w:proofErr w:type="gramEnd"/>
      <w:r w:rsidRPr="000D2E7A">
        <w:rPr>
          <w:rFonts w:ascii="Arial" w:hAnsi="Arial" w:cs="Arial"/>
          <w:bCs/>
          <w:sz w:val="18"/>
          <w:szCs w:val="18"/>
          <w:lang w:val="en-US"/>
        </w:rPr>
        <w:t xml:space="preserve"> a few history lessons » dans Portugal, Europe and the Globalization of Law, Law Faculty, </w:t>
      </w:r>
      <w:proofErr w:type="spellStart"/>
      <w:r w:rsidRPr="000D2E7A">
        <w:rPr>
          <w:rFonts w:ascii="Arial" w:hAnsi="Arial" w:cs="Arial"/>
          <w:bCs/>
          <w:sz w:val="18"/>
          <w:szCs w:val="18"/>
          <w:lang w:val="en-US"/>
        </w:rPr>
        <w:t>Université</w:t>
      </w:r>
      <w:proofErr w:type="spellEnd"/>
      <w:r w:rsidRPr="000D2E7A">
        <w:rPr>
          <w:rFonts w:ascii="Arial" w:hAnsi="Arial" w:cs="Arial"/>
          <w:bCs/>
          <w:sz w:val="18"/>
          <w:szCs w:val="18"/>
          <w:lang w:val="en-US"/>
        </w:rPr>
        <w:t xml:space="preserve"> de </w:t>
      </w:r>
      <w:proofErr w:type="spellStart"/>
      <w:r w:rsidRPr="000D2E7A">
        <w:rPr>
          <w:rFonts w:ascii="Arial" w:hAnsi="Arial" w:cs="Arial"/>
          <w:bCs/>
          <w:sz w:val="18"/>
          <w:szCs w:val="18"/>
          <w:lang w:val="en-US"/>
        </w:rPr>
        <w:t>Lisbonne</w:t>
      </w:r>
      <w:proofErr w:type="spellEnd"/>
      <w:r w:rsidRPr="000D2E7A">
        <w:rPr>
          <w:rFonts w:ascii="Arial" w:hAnsi="Arial" w:cs="Arial"/>
          <w:bCs/>
          <w:sz w:val="18"/>
          <w:szCs w:val="18"/>
          <w:lang w:val="en-US"/>
        </w:rPr>
        <w:t>, 2015, p. 124-132</w:t>
      </w:r>
    </w:p>
    <w:p w14:paraId="20D372B1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« Le droit au miroir de l’histoire », dans La pensée du doyen Hauriou à l’épreuve du temps : quel(s) héritage(s) ? sous la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dir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. de Chr. Alonso, A. Duranton, J. Schmitz, PUAM, 2015, p. 31-44</w:t>
      </w:r>
    </w:p>
    <w:p w14:paraId="3D4D9597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« Réponses conservatrices à la crise révolutionnaire » dans Crise(s) et Droit(s), Contributions en l’honneur du professeur Jacques Bouveresse, </w:t>
      </w:r>
      <w:proofErr w:type="gramStart"/>
      <w:r w:rsidRPr="000D2E7A">
        <w:rPr>
          <w:rFonts w:ascii="Arial" w:hAnsi="Arial" w:cs="Arial"/>
          <w:bCs/>
          <w:sz w:val="18"/>
          <w:szCs w:val="18"/>
        </w:rPr>
        <w:t>sous  la</w:t>
      </w:r>
      <w:proofErr w:type="gram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dir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. de Guy Quintane, et Chr. Otero, L’Epitoge, Lextenso, 2015, p. 49-60</w:t>
      </w:r>
    </w:p>
    <w:p w14:paraId="4EC150F5" w14:textId="6DDDD30E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>« Du sentiment national à la formation d’un Etat : l</w:t>
      </w:r>
      <w:proofErr w:type="gramStart"/>
      <w:r w:rsidRPr="000D2E7A">
        <w:rPr>
          <w:rFonts w:ascii="Arial" w:hAnsi="Arial" w:cs="Arial"/>
          <w:bCs/>
          <w:sz w:val="18"/>
          <w:szCs w:val="18"/>
        </w:rPr>
        <w:t>’«</w:t>
      </w:r>
      <w:proofErr w:type="gramEnd"/>
      <w:r w:rsidRPr="000D2E7A">
        <w:rPr>
          <w:rFonts w:ascii="Arial" w:hAnsi="Arial" w:cs="Arial"/>
          <w:bCs/>
          <w:sz w:val="18"/>
          <w:szCs w:val="18"/>
        </w:rPr>
        <w:t xml:space="preserve"> argument linguistique » dans la Grèce du XIXe siècle », actes du Colloque « Langues et nations au XIXe siècle » organisé par C.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Argyriadis-Kervegan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et G. Bacot (Université de Cergy-Pontoise, CPJP), dans la Revue française d’Histoire des Idées Politiques, 48, 2e sem. 2018, p.165-189.</w:t>
      </w:r>
    </w:p>
    <w:p w14:paraId="15609067" w14:textId="777777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« Qui a peur du droit d’association ? Les juristes grecs du XIXe siècle et la question des coalitions », à paraître dans « Saisir et gérer la peur : anthropologie de la peur en Grèce, de l’Antiquité à l’ère chrétienne », actes du colloque organisé par l’Ecole française d’Athènes, l’équipe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Anhima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(Univ. Paris 1 Panthéon-Sorbonne), l’Université Paul Valéry de Montpellier, l’Université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Panteion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d’Athènes, l’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Hellenic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Open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University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and Open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University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of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Cyprus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et le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Swedish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Institute of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Athens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, à paraître aux Presses Universitaires de Rennes.</w:t>
      </w:r>
    </w:p>
    <w:p w14:paraId="25BF7F6A" w14:textId="0445DF77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proofErr w:type="gramStart"/>
      <w:r w:rsidRPr="000D2E7A">
        <w:rPr>
          <w:rFonts w:ascii="Arial" w:hAnsi="Arial" w:cs="Arial"/>
          <w:bCs/>
          <w:sz w:val="18"/>
          <w:szCs w:val="18"/>
        </w:rPr>
        <w:t>«  Droits</w:t>
      </w:r>
      <w:proofErr w:type="gramEnd"/>
      <w:r w:rsidRPr="000D2E7A">
        <w:rPr>
          <w:rFonts w:ascii="Arial" w:hAnsi="Arial" w:cs="Arial"/>
          <w:bCs/>
          <w:sz w:val="18"/>
          <w:szCs w:val="18"/>
        </w:rPr>
        <w:t xml:space="preserve"> subjectifs et théories holistes de la société : Althusius,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Gierke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Duguit » dans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Ol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. Beaud, C.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Colliot-Thélène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J.F.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Kervegan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, (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dir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.) « Droits subjectifs et citoyenneté », Classiques Garnier 2019, p. 25-48.</w:t>
      </w:r>
    </w:p>
    <w:p w14:paraId="7C81F728" w14:textId="3E11430A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  <w:lang w:val="en-US"/>
        </w:rPr>
      </w:pPr>
      <w:r w:rsidRPr="000D2E7A">
        <w:rPr>
          <w:rFonts w:ascii="Arial" w:hAnsi="Arial" w:cs="Arial"/>
          <w:bCs/>
          <w:sz w:val="18"/>
          <w:szCs w:val="18"/>
          <w:lang w:val="en-US"/>
        </w:rPr>
        <w:t xml:space="preserve">Stahl, Friedrich Julius “, </w:t>
      </w:r>
      <w:proofErr w:type="gramStart"/>
      <w:r w:rsidRPr="000D2E7A">
        <w:rPr>
          <w:rFonts w:ascii="Arial" w:hAnsi="Arial" w:cs="Arial"/>
          <w:bCs/>
          <w:sz w:val="18"/>
          <w:szCs w:val="18"/>
          <w:lang w:val="en-US"/>
        </w:rPr>
        <w:t>dans :</w:t>
      </w:r>
      <w:proofErr w:type="gramEnd"/>
      <w:r w:rsidRPr="000D2E7A">
        <w:rPr>
          <w:rFonts w:ascii="Arial" w:hAnsi="Arial" w:cs="Arial"/>
          <w:bCs/>
          <w:sz w:val="18"/>
          <w:szCs w:val="18"/>
          <w:lang w:val="en-US"/>
        </w:rPr>
        <w:t xml:space="preserve"> Sellers, M., </w:t>
      </w:r>
      <w:proofErr w:type="spellStart"/>
      <w:r w:rsidRPr="000D2E7A">
        <w:rPr>
          <w:rFonts w:ascii="Arial" w:hAnsi="Arial" w:cs="Arial"/>
          <w:bCs/>
          <w:sz w:val="18"/>
          <w:szCs w:val="18"/>
          <w:lang w:val="en-US"/>
        </w:rPr>
        <w:t>Kirste</w:t>
      </w:r>
      <w:proofErr w:type="spellEnd"/>
      <w:r w:rsidRPr="000D2E7A">
        <w:rPr>
          <w:rFonts w:ascii="Arial" w:hAnsi="Arial" w:cs="Arial"/>
          <w:bCs/>
          <w:sz w:val="18"/>
          <w:szCs w:val="18"/>
          <w:lang w:val="en-US"/>
        </w:rPr>
        <w:t>, S., (eds.) Encyclopedia of  the Philosophy of Law and Social Philosophy, Springer, Dordrecht (IVR Encyclopedia online)</w:t>
      </w:r>
    </w:p>
    <w:p w14:paraId="20F3BD08" w14:textId="77777777" w:rsidR="000D2E7A" w:rsidRP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  <w:lang w:val="en-US"/>
        </w:rPr>
      </w:pPr>
    </w:p>
    <w:p w14:paraId="68848D68" w14:textId="77777777" w:rsid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0D2E7A">
        <w:rPr>
          <w:rFonts w:ascii="Arial" w:hAnsi="Arial" w:cs="Arial"/>
          <w:b/>
          <w:bCs/>
          <w:sz w:val="18"/>
          <w:szCs w:val="18"/>
        </w:rPr>
        <w:t>Traduction</w:t>
      </w:r>
    </w:p>
    <w:p w14:paraId="51D2EBBC" w14:textId="77777777" w:rsid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</w:p>
    <w:p w14:paraId="737AE99E" w14:textId="4031CEAF" w:rsidR="000D2E7A" w:rsidRPr="000D2E7A" w:rsidRDefault="000D2E7A" w:rsidP="000D2E7A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Traduction et présentation de Otto von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Gierke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, « L’idée germanique de l’Etat », Revue d’Histoire des idées politiques 23, 1er sem.2006, p. 169-191</w:t>
      </w:r>
    </w:p>
    <w:p w14:paraId="2008C679" w14:textId="77777777" w:rsidR="000D2E7A" w:rsidRP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</w:p>
    <w:p w14:paraId="0BB2C995" w14:textId="5D5DE5B6" w:rsid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0D2E7A">
        <w:rPr>
          <w:rFonts w:ascii="Arial" w:hAnsi="Arial" w:cs="Arial"/>
          <w:b/>
          <w:bCs/>
          <w:sz w:val="18"/>
          <w:szCs w:val="18"/>
        </w:rPr>
        <w:t>Comptes rendus</w:t>
      </w:r>
    </w:p>
    <w:p w14:paraId="764250F4" w14:textId="77777777" w:rsidR="000D2E7A" w:rsidRP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</w:p>
    <w:p w14:paraId="64EC0064" w14:textId="77777777" w:rsidR="000D2E7A" w:rsidRPr="000D2E7A" w:rsidRDefault="000D2E7A" w:rsidP="000D2E7A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Kantorowicz, Mourir pour la patrie et autres essais,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Rechtshistorisches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Journal, 4 (1985), pp. 181-182 (en allemand)</w:t>
      </w:r>
    </w:p>
    <w:p w14:paraId="4CD7DD0F" w14:textId="77777777" w:rsidR="000D2E7A" w:rsidRPr="000D2E7A" w:rsidRDefault="000D2E7A" w:rsidP="000D2E7A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Goody, La logique de l'écriture. Aux origines des sociétés humaines,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Quaderni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Fiorentini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, 17 (1988) (en allemand)</w:t>
      </w:r>
    </w:p>
    <w:p w14:paraId="10487566" w14:textId="77777777" w:rsidR="000D2E7A" w:rsidRPr="000D2E7A" w:rsidRDefault="000D2E7A" w:rsidP="000D2E7A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« Un monde à part : Arlette Farge, Le goût de l'archive »,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Rechtshistorisches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Journal, 9 (1990), pp. 286-290 (en allemand)</w:t>
      </w:r>
    </w:p>
    <w:p w14:paraId="2E93D519" w14:textId="77777777" w:rsidR="000D2E7A" w:rsidRPr="000D2E7A" w:rsidRDefault="000D2E7A" w:rsidP="000D2E7A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El.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Papagianni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La jurisprudence relative au droit de propriété des tribunaux ecclésiastiques de l'époque byzantine et post-byzantine,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Byzantinische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proofErr w:type="gramStart"/>
      <w:r w:rsidRPr="000D2E7A">
        <w:rPr>
          <w:rFonts w:ascii="Arial" w:hAnsi="Arial" w:cs="Arial"/>
          <w:bCs/>
          <w:sz w:val="18"/>
          <w:szCs w:val="18"/>
        </w:rPr>
        <w:t>Zeitschrift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,</w:t>
      </w:r>
      <w:proofErr w:type="gramEnd"/>
      <w:r w:rsidRPr="000D2E7A">
        <w:rPr>
          <w:rFonts w:ascii="Arial" w:hAnsi="Arial" w:cs="Arial"/>
          <w:bCs/>
          <w:sz w:val="18"/>
          <w:szCs w:val="18"/>
        </w:rPr>
        <w:t xml:space="preserve"> 86-87, 1/1994, p. 157 sq. (en allemand)</w:t>
      </w:r>
    </w:p>
    <w:p w14:paraId="036EDA36" w14:textId="77777777" w:rsidR="000D2E7A" w:rsidRPr="000D2E7A" w:rsidRDefault="000D2E7A" w:rsidP="000D2E7A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proofErr w:type="spellStart"/>
      <w:r w:rsidRPr="000D2E7A">
        <w:rPr>
          <w:rFonts w:ascii="Arial" w:hAnsi="Arial" w:cs="Arial"/>
          <w:bCs/>
          <w:sz w:val="18"/>
          <w:szCs w:val="18"/>
        </w:rPr>
        <w:t>Ev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.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Katerelos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La dissolution du mariage chez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Demetrios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Chomatianos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et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Ioannes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Apokaukos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Une contribution à l'histoire du droit byzantin du 13e siècle,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Byzantinische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Zeitschrift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, 86-87, 1/1994, p. 158 sq. (en allemand)</w:t>
      </w:r>
    </w:p>
    <w:p w14:paraId="34E3E89A" w14:textId="77777777" w:rsidR="000D2E7A" w:rsidRPr="000D2E7A" w:rsidRDefault="000D2E7A" w:rsidP="000D2E7A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proofErr w:type="spellStart"/>
      <w:r w:rsidRPr="000D2E7A">
        <w:rPr>
          <w:rFonts w:ascii="Arial" w:hAnsi="Arial" w:cs="Arial"/>
          <w:bCs/>
          <w:sz w:val="18"/>
          <w:szCs w:val="18"/>
        </w:rPr>
        <w:lastRenderedPageBreak/>
        <w:t>Tsapogas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, Rationalisation de l’Etat et mouvement constitutionnel en Grèce (1832-1843),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Zeitschrift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für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neuere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Rechtsgeschichte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, 19/1997, 3-4, pp. 302-304 (en allemand)</w:t>
      </w:r>
    </w:p>
    <w:p w14:paraId="265F26A7" w14:textId="77777777" w:rsidR="000D2E7A" w:rsidRPr="000D2E7A" w:rsidRDefault="000D2E7A" w:rsidP="000D2E7A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Doctrine publiciste et droit romain, Revue Française des Idées Politiques, 41.2/2015,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L’Harmattan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, Revue d’Histoire des Facultés de Droit, no 34, 2014</w:t>
      </w:r>
    </w:p>
    <w:p w14:paraId="5717F1B4" w14:textId="4BB29EC7" w:rsidR="000D2E7A" w:rsidRPr="000D2E7A" w:rsidRDefault="000D2E7A" w:rsidP="000D2E7A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18"/>
        </w:rPr>
      </w:pPr>
      <w:r w:rsidRPr="000D2E7A">
        <w:rPr>
          <w:rFonts w:ascii="Arial" w:hAnsi="Arial" w:cs="Arial"/>
          <w:bCs/>
          <w:sz w:val="18"/>
          <w:szCs w:val="18"/>
        </w:rPr>
        <w:t xml:space="preserve">Les censures dans le Monde, XIXe-XXIe siècle, sous la </w:t>
      </w:r>
      <w:proofErr w:type="spellStart"/>
      <w:r w:rsidRPr="000D2E7A">
        <w:rPr>
          <w:rFonts w:ascii="Arial" w:hAnsi="Arial" w:cs="Arial"/>
          <w:bCs/>
          <w:sz w:val="18"/>
          <w:szCs w:val="18"/>
        </w:rPr>
        <w:t>dir</w:t>
      </w:r>
      <w:proofErr w:type="spellEnd"/>
      <w:r w:rsidRPr="000D2E7A">
        <w:rPr>
          <w:rFonts w:ascii="Arial" w:hAnsi="Arial" w:cs="Arial"/>
          <w:bCs/>
          <w:sz w:val="18"/>
          <w:szCs w:val="18"/>
        </w:rPr>
        <w:t>. de L. Martin, PUR, 2016, dans la Revue historique de droit français et étranger, No 4, Oct.-Déc. 2016, p.610-614.</w:t>
      </w:r>
    </w:p>
    <w:p w14:paraId="7BA8173F" w14:textId="68DF5C5B" w:rsidR="000D2E7A" w:rsidRP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5BE6F722" w14:textId="17F0C934" w:rsidR="000D2E7A" w:rsidRPr="000D2E7A" w:rsidRDefault="000D2E7A" w:rsidP="000D2E7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sectPr w:rsidR="000D2E7A" w:rsidRPr="000D2E7A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E0862" w14:textId="77777777" w:rsidR="00B95DCB" w:rsidRDefault="00B95DCB" w:rsidP="00F342F6">
      <w:r>
        <w:separator/>
      </w:r>
    </w:p>
  </w:endnote>
  <w:endnote w:type="continuationSeparator" w:id="0">
    <w:p w14:paraId="12E18A6B" w14:textId="77777777" w:rsidR="00B95DCB" w:rsidRDefault="00B95DCB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1E11F" w14:textId="77777777" w:rsidR="00B95DCB" w:rsidRDefault="00B95DCB" w:rsidP="00F342F6">
      <w:r>
        <w:separator/>
      </w:r>
    </w:p>
  </w:footnote>
  <w:footnote w:type="continuationSeparator" w:id="0">
    <w:p w14:paraId="1E1BBA20" w14:textId="77777777" w:rsidR="00B95DCB" w:rsidRDefault="00B95DCB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" w15:restartNumberingAfterBreak="0">
    <w:nsid w:val="1B096E84"/>
    <w:multiLevelType w:val="hybridMultilevel"/>
    <w:tmpl w:val="2AE4C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1510"/>
    <w:multiLevelType w:val="hybridMultilevel"/>
    <w:tmpl w:val="6680C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F314E"/>
    <w:multiLevelType w:val="hybridMultilevel"/>
    <w:tmpl w:val="663EE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9B6005"/>
    <w:multiLevelType w:val="hybridMultilevel"/>
    <w:tmpl w:val="B47C7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7" w15:restartNumberingAfterBreak="0">
    <w:nsid w:val="6E521790"/>
    <w:multiLevelType w:val="hybridMultilevel"/>
    <w:tmpl w:val="65529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A7E8F"/>
    <w:rsid w:val="000D2E7A"/>
    <w:rsid w:val="000D3D3F"/>
    <w:rsid w:val="000E5D31"/>
    <w:rsid w:val="000F24C4"/>
    <w:rsid w:val="0020609E"/>
    <w:rsid w:val="002333AF"/>
    <w:rsid w:val="002A3B7F"/>
    <w:rsid w:val="002D7F33"/>
    <w:rsid w:val="002F64FD"/>
    <w:rsid w:val="00313469"/>
    <w:rsid w:val="0032588D"/>
    <w:rsid w:val="0033033D"/>
    <w:rsid w:val="0033345C"/>
    <w:rsid w:val="003A1D74"/>
    <w:rsid w:val="00403D39"/>
    <w:rsid w:val="00422A7E"/>
    <w:rsid w:val="00425E65"/>
    <w:rsid w:val="004373F3"/>
    <w:rsid w:val="0048140F"/>
    <w:rsid w:val="005259DD"/>
    <w:rsid w:val="005E076B"/>
    <w:rsid w:val="005E16F1"/>
    <w:rsid w:val="0062322B"/>
    <w:rsid w:val="00643436"/>
    <w:rsid w:val="00686F12"/>
    <w:rsid w:val="00720921"/>
    <w:rsid w:val="0073170B"/>
    <w:rsid w:val="007B5FB2"/>
    <w:rsid w:val="00812ACC"/>
    <w:rsid w:val="00832F66"/>
    <w:rsid w:val="008359B5"/>
    <w:rsid w:val="00854B87"/>
    <w:rsid w:val="008F6F82"/>
    <w:rsid w:val="0098770C"/>
    <w:rsid w:val="00A22947"/>
    <w:rsid w:val="00A257E7"/>
    <w:rsid w:val="00A25C27"/>
    <w:rsid w:val="00A6224B"/>
    <w:rsid w:val="00A75081"/>
    <w:rsid w:val="00A90834"/>
    <w:rsid w:val="00B111D3"/>
    <w:rsid w:val="00B61D6B"/>
    <w:rsid w:val="00B7791E"/>
    <w:rsid w:val="00B82446"/>
    <w:rsid w:val="00B95DCB"/>
    <w:rsid w:val="00BE4192"/>
    <w:rsid w:val="00CE4422"/>
    <w:rsid w:val="00CE7652"/>
    <w:rsid w:val="00CF09F4"/>
    <w:rsid w:val="00CF6BE2"/>
    <w:rsid w:val="00E26FFC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85564A-F3F2-4A33-B27E-3AC9DAF3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1617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</cp:revision>
  <cp:lastPrinted>2020-09-11T13:24:00Z</cp:lastPrinted>
  <dcterms:created xsi:type="dcterms:W3CDTF">2022-06-30T12:50:00Z</dcterms:created>
  <dcterms:modified xsi:type="dcterms:W3CDTF">2022-06-30T12:50:00Z</dcterms:modified>
</cp:coreProperties>
</file>