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67B931D9" w:rsidR="002D7F33" w:rsidRPr="002D7F33" w:rsidRDefault="0031346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3E3B38"/>
          <w:sz w:val="36"/>
          <w:szCs w:val="36"/>
        </w:rPr>
        <w:t>Caroula</w:t>
      </w:r>
      <w:proofErr w:type="spellEnd"/>
      <w:r>
        <w:rPr>
          <w:rFonts w:ascii="Arial" w:hAnsi="Arial" w:cs="Arial"/>
          <w:b/>
          <w:bCs/>
          <w:color w:val="3E3B38"/>
          <w:sz w:val="36"/>
          <w:szCs w:val="36"/>
        </w:rPr>
        <w:t xml:space="preserve"> ARGY</w:t>
      </w:r>
      <w:r w:rsidR="000D2E7A">
        <w:rPr>
          <w:rFonts w:ascii="Arial" w:hAnsi="Arial" w:cs="Arial"/>
          <w:b/>
          <w:bCs/>
          <w:color w:val="3E3B38"/>
          <w:sz w:val="36"/>
          <w:szCs w:val="36"/>
        </w:rPr>
        <w:t>RIADIS</w:t>
      </w:r>
    </w:p>
    <w:bookmarkEnd w:id="0"/>
    <w:p w14:paraId="6EB3632C" w14:textId="15F52540" w:rsidR="003A1D74" w:rsidRPr="002D7F33" w:rsidRDefault="000D2E7A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>
        <w:rPr>
          <w:rFonts w:ascii="Arial" w:hAnsi="Arial" w:cs="Arial"/>
          <w:bCs/>
          <w:color w:val="3E3B38"/>
          <w:sz w:val="28"/>
          <w:szCs w:val="36"/>
        </w:rPr>
        <w:t>Professeur des universités en histoire du droit</w:t>
      </w:r>
    </w:p>
    <w:p w14:paraId="25D09437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612A37E1" w:rsidR="003A1D74" w:rsidRPr="00CE4422" w:rsidRDefault="000D2E7A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pédagogiques</w:t>
      </w:r>
    </w:p>
    <w:p w14:paraId="166FF2C3" w14:textId="77777777" w:rsidR="003A1D74" w:rsidRP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88AF947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 xml:space="preserve">Professeur d’histoire du droit, Université Cergy-Pontoise (depuis </w:t>
      </w:r>
      <w:proofErr w:type="gramStart"/>
      <w:r w:rsidRPr="000D2E7A">
        <w:rPr>
          <w:rFonts w:ascii="Arial" w:hAnsi="Arial" w:cs="Arial"/>
          <w:color w:val="3E3B38"/>
          <w:sz w:val="18"/>
          <w:szCs w:val="18"/>
        </w:rPr>
        <w:t>2010 )</w:t>
      </w:r>
      <w:proofErr w:type="gramEnd"/>
      <w:r w:rsidRPr="000D2E7A">
        <w:rPr>
          <w:rFonts w:ascii="Arial" w:hAnsi="Arial" w:cs="Arial"/>
          <w:color w:val="3E3B38"/>
          <w:sz w:val="18"/>
          <w:szCs w:val="18"/>
        </w:rPr>
        <w:t xml:space="preserve">         </w:t>
      </w:r>
    </w:p>
    <w:p w14:paraId="168A006C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Docteur en histoire du droit, Université Johann-Wolfgang Goethe, Francfort s. M./Allemagne</w:t>
      </w:r>
    </w:p>
    <w:p w14:paraId="473EEABA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Habilitation à diriger des recherches, Université Paris I</w:t>
      </w:r>
    </w:p>
    <w:p w14:paraId="53BFC3F3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Professeur d’histoire du droit, Université du Havre (2007-2010)</w:t>
      </w:r>
    </w:p>
    <w:p w14:paraId="7ECD2E12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Maître de conférences d’histoire du droit, Université de Rouen (1995-2007)</w:t>
      </w:r>
    </w:p>
    <w:p w14:paraId="206D5EDA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 xml:space="preserve">MCF </w:t>
      </w:r>
      <w:proofErr w:type="spellStart"/>
      <w:proofErr w:type="gramStart"/>
      <w:r w:rsidRPr="000D2E7A">
        <w:rPr>
          <w:rFonts w:ascii="Arial" w:hAnsi="Arial" w:cs="Arial"/>
          <w:color w:val="3E3B38"/>
          <w:sz w:val="18"/>
          <w:szCs w:val="18"/>
        </w:rPr>
        <w:t>associée,Université</w:t>
      </w:r>
      <w:proofErr w:type="spellEnd"/>
      <w:proofErr w:type="gramEnd"/>
      <w:r w:rsidRPr="000D2E7A">
        <w:rPr>
          <w:rFonts w:ascii="Arial" w:hAnsi="Arial" w:cs="Arial"/>
          <w:color w:val="3E3B38"/>
          <w:sz w:val="18"/>
          <w:szCs w:val="18"/>
        </w:rPr>
        <w:t xml:space="preserve"> Cergy Pontoise (1994-1995)</w:t>
      </w:r>
    </w:p>
    <w:p w14:paraId="1EDCA3D8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Chercheuse invitée, Université de Berkeley (Robbins Collection), USA (1993)</w:t>
      </w:r>
    </w:p>
    <w:p w14:paraId="1186565C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>Assistante à la chaire de droit romain à l’Université de Freiburg i. Br./</w:t>
      </w:r>
      <w:proofErr w:type="spellStart"/>
      <w:r w:rsidRPr="000D2E7A">
        <w:rPr>
          <w:rFonts w:ascii="Arial" w:hAnsi="Arial" w:cs="Arial"/>
          <w:color w:val="3E3B38"/>
          <w:sz w:val="18"/>
          <w:szCs w:val="18"/>
        </w:rPr>
        <w:t>Allem</w:t>
      </w:r>
      <w:proofErr w:type="spellEnd"/>
      <w:r w:rsidRPr="000D2E7A">
        <w:rPr>
          <w:rFonts w:ascii="Arial" w:hAnsi="Arial" w:cs="Arial"/>
          <w:color w:val="3E3B38"/>
          <w:sz w:val="18"/>
          <w:szCs w:val="18"/>
        </w:rPr>
        <w:t>. (1992)</w:t>
      </w:r>
    </w:p>
    <w:p w14:paraId="69ABC66F" w14:textId="77777777" w:rsidR="000D2E7A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2E7A">
        <w:rPr>
          <w:rFonts w:ascii="Arial" w:hAnsi="Arial" w:cs="Arial"/>
          <w:color w:val="3E3B38"/>
          <w:sz w:val="18"/>
          <w:szCs w:val="18"/>
        </w:rPr>
        <w:t xml:space="preserve">Chercheuse à temps plein à l’Institut Max Planck pour l’histoire européenne du </w:t>
      </w:r>
      <w:proofErr w:type="spellStart"/>
      <w:proofErr w:type="gramStart"/>
      <w:r w:rsidRPr="000D2E7A">
        <w:rPr>
          <w:rFonts w:ascii="Arial" w:hAnsi="Arial" w:cs="Arial"/>
          <w:color w:val="3E3B38"/>
          <w:sz w:val="18"/>
          <w:szCs w:val="18"/>
        </w:rPr>
        <w:t>droit,Université</w:t>
      </w:r>
      <w:proofErr w:type="spellEnd"/>
      <w:proofErr w:type="gramEnd"/>
      <w:r w:rsidRPr="000D2E7A">
        <w:rPr>
          <w:rFonts w:ascii="Arial" w:hAnsi="Arial" w:cs="Arial"/>
          <w:color w:val="3E3B38"/>
          <w:sz w:val="18"/>
          <w:szCs w:val="18"/>
        </w:rPr>
        <w:t xml:space="preserve"> de Francfort /M., Allemagne (1984-1992)</w:t>
      </w:r>
    </w:p>
    <w:p w14:paraId="42E74DD3" w14:textId="7DE8874F" w:rsidR="003A1D74" w:rsidRPr="000D2E7A" w:rsidRDefault="000D2E7A" w:rsidP="000D2E7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0D2E7A">
        <w:rPr>
          <w:rFonts w:ascii="Arial" w:hAnsi="Arial" w:cs="Arial"/>
          <w:sz w:val="18"/>
          <w:szCs w:val="18"/>
        </w:rPr>
        <w:t>Chercheuse à temps plein à l’équipe pour l’histoire du droit byzantin (financée par la DFG), Université de Francfort /M., Allemagne (1983-1984)</w:t>
      </w:r>
    </w:p>
    <w:p w14:paraId="4DAC4B41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2A76D983" w:rsidR="003A1D74" w:rsidRPr="00CE4422" w:rsidRDefault="000D2E7A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Fonctions administratives</w:t>
      </w:r>
    </w:p>
    <w:p w14:paraId="5401D371" w14:textId="77777777" w:rsidR="003A1D74" w:rsidRPr="000D2E7A" w:rsidRDefault="003A1D74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979A9D5" w14:textId="77777777" w:rsidR="000D2E7A" w:rsidRPr="000D2E7A" w:rsidRDefault="000D2E7A" w:rsidP="000D2E7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0D2E7A">
        <w:rPr>
          <w:rFonts w:ascii="Arial" w:hAnsi="Arial" w:cs="Arial"/>
          <w:sz w:val="18"/>
          <w:szCs w:val="18"/>
        </w:rPr>
        <w:t>Membre du Conseil Académique de l’Université de Cergy-Pontoise (depuis 2016)</w:t>
      </w:r>
    </w:p>
    <w:p w14:paraId="7B753335" w14:textId="77777777" w:rsidR="000D2E7A" w:rsidRPr="000D2E7A" w:rsidRDefault="000D2E7A" w:rsidP="000D2E7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0D2E7A">
        <w:rPr>
          <w:rFonts w:ascii="Arial" w:hAnsi="Arial" w:cs="Arial"/>
          <w:sz w:val="18"/>
          <w:szCs w:val="18"/>
        </w:rPr>
        <w:t>Membre du conseil scientifique et du conseil d’UFR de l’Université du Havre (2007-2010)</w:t>
      </w:r>
    </w:p>
    <w:p w14:paraId="5A3A687F" w14:textId="77777777" w:rsidR="000D2E7A" w:rsidRPr="000D2E7A" w:rsidRDefault="000D2E7A" w:rsidP="000D2E7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0D2E7A">
        <w:rPr>
          <w:rFonts w:ascii="Arial" w:hAnsi="Arial" w:cs="Arial"/>
          <w:sz w:val="18"/>
          <w:szCs w:val="18"/>
        </w:rPr>
        <w:t xml:space="preserve">Responsable du Master européen Erasmus </w:t>
      </w:r>
      <w:proofErr w:type="spellStart"/>
      <w:r w:rsidRPr="000D2E7A">
        <w:rPr>
          <w:rFonts w:ascii="Arial" w:hAnsi="Arial" w:cs="Arial"/>
          <w:sz w:val="18"/>
          <w:szCs w:val="18"/>
        </w:rPr>
        <w:t>Mundus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 LLM « Pratique européenne du droit » à l’Université de Rouen, puis à celle du Havre (Consortium avec les universités de Hanovre, Univ Catholique de Lisbonne, </w:t>
      </w:r>
      <w:proofErr w:type="spellStart"/>
      <w:r w:rsidRPr="000D2E7A">
        <w:rPr>
          <w:rFonts w:ascii="Arial" w:hAnsi="Arial" w:cs="Arial"/>
          <w:sz w:val="18"/>
          <w:szCs w:val="18"/>
        </w:rPr>
        <w:t>Symbiosis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 Law </w:t>
      </w:r>
      <w:proofErr w:type="spellStart"/>
      <w:r w:rsidRPr="000D2E7A">
        <w:rPr>
          <w:rFonts w:ascii="Arial" w:hAnsi="Arial" w:cs="Arial"/>
          <w:sz w:val="18"/>
          <w:szCs w:val="18"/>
        </w:rPr>
        <w:t>College</w:t>
      </w:r>
      <w:proofErr w:type="spellEnd"/>
      <w:r w:rsidRPr="000D2E7A">
        <w:rPr>
          <w:rFonts w:ascii="Arial" w:hAnsi="Arial" w:cs="Arial"/>
          <w:sz w:val="18"/>
          <w:szCs w:val="18"/>
        </w:rPr>
        <w:t>, Pune/</w:t>
      </w:r>
      <w:proofErr w:type="spellStart"/>
      <w:r w:rsidRPr="000D2E7A">
        <w:rPr>
          <w:rFonts w:ascii="Arial" w:hAnsi="Arial" w:cs="Arial"/>
          <w:sz w:val="18"/>
          <w:szCs w:val="18"/>
        </w:rPr>
        <w:t>India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, Univ. </w:t>
      </w:r>
      <w:proofErr w:type="spellStart"/>
      <w:r w:rsidRPr="000D2E7A">
        <w:rPr>
          <w:rFonts w:ascii="Arial" w:hAnsi="Arial" w:cs="Arial"/>
          <w:sz w:val="18"/>
          <w:szCs w:val="18"/>
        </w:rPr>
        <w:t>Planalto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sz w:val="18"/>
          <w:szCs w:val="18"/>
        </w:rPr>
        <w:t>Cetral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, Brasilia/Brésil, </w:t>
      </w:r>
      <w:proofErr w:type="spellStart"/>
      <w:r w:rsidRPr="000D2E7A">
        <w:rPr>
          <w:rFonts w:ascii="Arial" w:hAnsi="Arial" w:cs="Arial"/>
          <w:sz w:val="18"/>
          <w:szCs w:val="18"/>
        </w:rPr>
        <w:t>Jiao</w:t>
      </w:r>
      <w:proofErr w:type="spellEnd"/>
      <w:r w:rsidRPr="000D2E7A">
        <w:rPr>
          <w:rFonts w:ascii="Arial" w:hAnsi="Arial" w:cs="Arial"/>
          <w:sz w:val="18"/>
          <w:szCs w:val="18"/>
        </w:rPr>
        <w:t xml:space="preserve"> Tong Univ. </w:t>
      </w:r>
      <w:proofErr w:type="spellStart"/>
      <w:r w:rsidRPr="000D2E7A">
        <w:rPr>
          <w:rFonts w:ascii="Arial" w:hAnsi="Arial" w:cs="Arial"/>
          <w:sz w:val="18"/>
          <w:szCs w:val="18"/>
        </w:rPr>
        <w:t>Shangai</w:t>
      </w:r>
      <w:proofErr w:type="spellEnd"/>
      <w:r w:rsidRPr="000D2E7A">
        <w:rPr>
          <w:rFonts w:ascii="Arial" w:hAnsi="Arial" w:cs="Arial"/>
          <w:sz w:val="18"/>
          <w:szCs w:val="18"/>
        </w:rPr>
        <w:t>/</w:t>
      </w:r>
      <w:proofErr w:type="gramStart"/>
      <w:r w:rsidRPr="000D2E7A">
        <w:rPr>
          <w:rFonts w:ascii="Arial" w:hAnsi="Arial" w:cs="Arial"/>
          <w:sz w:val="18"/>
          <w:szCs w:val="18"/>
        </w:rPr>
        <w:t>Chine )</w:t>
      </w:r>
      <w:proofErr w:type="gramEnd"/>
      <w:r w:rsidRPr="000D2E7A">
        <w:rPr>
          <w:rFonts w:ascii="Arial" w:hAnsi="Arial" w:cs="Arial"/>
          <w:sz w:val="18"/>
          <w:szCs w:val="18"/>
        </w:rPr>
        <w:t xml:space="preserve"> (2004-2010)</w:t>
      </w:r>
    </w:p>
    <w:p w14:paraId="0DC7ADE0" w14:textId="77777777" w:rsidR="000D2E7A" w:rsidRPr="000D2E7A" w:rsidRDefault="000D2E7A" w:rsidP="000D2E7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0D2E7A">
        <w:rPr>
          <w:rFonts w:ascii="Arial" w:hAnsi="Arial" w:cs="Arial"/>
          <w:sz w:val="18"/>
          <w:szCs w:val="18"/>
        </w:rPr>
        <w:t>Responsable des Relations Internationales de la faculté de droit de l’Université de Rouen (2004-2007)</w:t>
      </w:r>
    </w:p>
    <w:p w14:paraId="0F5E1DA8" w14:textId="406626C4" w:rsidR="003A1D74" w:rsidRPr="000D2E7A" w:rsidRDefault="000D2E7A" w:rsidP="000D2E7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0D2E7A">
        <w:rPr>
          <w:rFonts w:ascii="Arial" w:hAnsi="Arial" w:cs="Arial"/>
          <w:sz w:val="18"/>
          <w:szCs w:val="18"/>
        </w:rPr>
        <w:t>Avocate au Barreau d’Athènes (1984-2006)</w:t>
      </w:r>
      <w:r w:rsidR="003A1D74" w:rsidRPr="000D2E7A">
        <w:rPr>
          <w:rFonts w:ascii="Arial" w:hAnsi="Arial" w:cs="Arial"/>
          <w:sz w:val="18"/>
          <w:szCs w:val="18"/>
        </w:rPr>
        <w:t>.</w:t>
      </w:r>
    </w:p>
    <w:p w14:paraId="6847FD53" w14:textId="400BB120" w:rsidR="00FA24D4" w:rsidRDefault="00FA24D4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72D1F99" w14:textId="0509197B" w:rsidR="000D2E7A" w:rsidRPr="00CE4422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Domaines de recherche</w:t>
      </w:r>
    </w:p>
    <w:p w14:paraId="1B97020D" w14:textId="19222DB7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84DEA78" w14:textId="77777777" w:rsidR="000D2E7A" w:rsidRPr="000D2E7A" w:rsidRDefault="000D2E7A" w:rsidP="000D2E7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0D2E7A">
        <w:rPr>
          <w:rFonts w:ascii="Arial" w:hAnsi="Arial" w:cs="Arial"/>
          <w:sz w:val="18"/>
          <w:szCs w:val="20"/>
        </w:rPr>
        <w:t>Histoire comparée du droit (France, Allemagne, Grèce XIXe –XXe s.)</w:t>
      </w:r>
    </w:p>
    <w:p w14:paraId="0028C9A6" w14:textId="77777777" w:rsidR="000D2E7A" w:rsidRPr="000D2E7A" w:rsidRDefault="000D2E7A" w:rsidP="000D2E7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0D2E7A">
        <w:rPr>
          <w:rFonts w:ascii="Arial" w:hAnsi="Arial" w:cs="Arial"/>
          <w:sz w:val="18"/>
          <w:szCs w:val="20"/>
        </w:rPr>
        <w:t>Histoire de la pensée juridique et des idées politiques</w:t>
      </w:r>
    </w:p>
    <w:p w14:paraId="37CCA6CB" w14:textId="77777777" w:rsidR="000D2E7A" w:rsidRPr="000D2E7A" w:rsidRDefault="000D2E7A" w:rsidP="000D2E7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0D2E7A">
        <w:rPr>
          <w:rFonts w:ascii="Arial" w:hAnsi="Arial" w:cs="Arial"/>
          <w:sz w:val="18"/>
          <w:szCs w:val="20"/>
        </w:rPr>
        <w:t>Histoire du droit public envisagé sous un angle comparatiste</w:t>
      </w:r>
    </w:p>
    <w:p w14:paraId="41278A25" w14:textId="77777777" w:rsidR="000D2E7A" w:rsidRPr="000D2E7A" w:rsidRDefault="000D2E7A" w:rsidP="000D2E7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0D2E7A">
        <w:rPr>
          <w:rFonts w:ascii="Arial" w:hAnsi="Arial" w:cs="Arial"/>
          <w:sz w:val="18"/>
          <w:szCs w:val="20"/>
        </w:rPr>
        <w:t>Histoire du droit grec moderne</w:t>
      </w:r>
    </w:p>
    <w:p w14:paraId="4F408625" w14:textId="7C46F497" w:rsidR="000D2E7A" w:rsidRPr="000D2E7A" w:rsidRDefault="000D2E7A" w:rsidP="000D2E7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0D2E7A">
        <w:rPr>
          <w:rFonts w:ascii="Arial" w:hAnsi="Arial" w:cs="Arial"/>
          <w:sz w:val="18"/>
          <w:szCs w:val="20"/>
        </w:rPr>
        <w:t>Histoire comparée du droit administratif</w:t>
      </w:r>
    </w:p>
    <w:p w14:paraId="49223EFD" w14:textId="41D74CBF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49234373" w14:textId="461A1C36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 (sélection)</w:t>
      </w:r>
    </w:p>
    <w:p w14:paraId="72B92253" w14:textId="4366BAC5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47F0937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D2E7A">
        <w:rPr>
          <w:rFonts w:ascii="Arial" w:hAnsi="Arial" w:cs="Arial"/>
          <w:b/>
          <w:bCs/>
          <w:sz w:val="18"/>
          <w:szCs w:val="18"/>
        </w:rPr>
        <w:t>Ouvrage</w:t>
      </w:r>
    </w:p>
    <w:p w14:paraId="5891613D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proofErr w:type="spellStart"/>
      <w:r w:rsidRPr="000D2E7A">
        <w:rPr>
          <w:rFonts w:ascii="Arial" w:hAnsi="Arial" w:cs="Arial"/>
          <w:bCs/>
          <w:sz w:val="18"/>
          <w:szCs w:val="18"/>
        </w:rPr>
        <w:t>Staatsbilder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und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Rechtspraktiken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Über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den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Bildungsprozess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des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neugriechischen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Staates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(1821-1827) [Images de l'Etat et pratiques judiciaires. Le processus de formation de l'Etat grec moderne], Frankfurt/New York, Peter Lang, 1994, 216 p.</w:t>
      </w:r>
    </w:p>
    <w:p w14:paraId="7665DF4E" w14:textId="58D0DD31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25AB36FE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D2E7A">
        <w:rPr>
          <w:rFonts w:ascii="Arial" w:hAnsi="Arial" w:cs="Arial"/>
          <w:b/>
          <w:bCs/>
          <w:sz w:val="18"/>
          <w:szCs w:val="18"/>
        </w:rPr>
        <w:t xml:space="preserve"> Activité éditoriale</w:t>
      </w:r>
    </w:p>
    <w:p w14:paraId="346966C5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4A986BC2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lastRenderedPageBreak/>
        <w:t xml:space="preserve">Langues et Nations au XIXème siècle sous la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de C.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Argyriadis-Kervegan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G. Bacot, Revue française d’histoire des Idées Politiques, No 48-2ème sem. 2018, actes du colloque Langues et Nations au XIXème siècle, Univ. </w:t>
      </w:r>
      <w:proofErr w:type="gramStart"/>
      <w:r w:rsidRPr="000D2E7A">
        <w:rPr>
          <w:rFonts w:ascii="Arial" w:hAnsi="Arial" w:cs="Arial"/>
          <w:bCs/>
          <w:sz w:val="18"/>
          <w:szCs w:val="18"/>
        </w:rPr>
        <w:t>de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Cergy-Pontoise, 9 juin 2017</w:t>
      </w:r>
    </w:p>
    <w:p w14:paraId="546AC34C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1ED321F0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D2E7A">
        <w:rPr>
          <w:rFonts w:ascii="Arial" w:hAnsi="Arial" w:cs="Arial"/>
          <w:b/>
          <w:bCs/>
          <w:sz w:val="18"/>
          <w:szCs w:val="18"/>
        </w:rPr>
        <w:t xml:space="preserve"> Articles et contributions à des ouvrages</w:t>
      </w:r>
    </w:p>
    <w:p w14:paraId="24C9BA2C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69F7F67C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Armenopoulos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l'esprit du temps »,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Rechtshistorisches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Journal 3 (1984), pp. 243-251 (en allemand)</w:t>
      </w:r>
    </w:p>
    <w:p w14:paraId="70D9B400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Leolex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», (avec L.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Burgmann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M.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Herberger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)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Rechtshistorisches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Journal 3 (1984), pp. 111-114</w:t>
      </w:r>
    </w:p>
    <w:p w14:paraId="7D63936D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Ordres juridiques périphériques et histoire de la codification en Grèce »,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Nomiko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Bema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34, 10 (1986) (en grec)</w:t>
      </w:r>
    </w:p>
    <w:p w14:paraId="70E7F015" w14:textId="1A2C4DBC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Le processus de formation d'un Etat périphérique : la Grèce (1821-1827) »,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Rechtshistorisches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Journal, 6 (1987), pp. 158-172 (en allemand)</w:t>
      </w:r>
    </w:p>
    <w:p w14:paraId="45D9B4E3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Grèce (1800-1945) », dans F.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Ranieri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Gedruckte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Quellen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der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Rechtsprechung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in Europa, Frankfurt,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Klostermann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1992 (Publications du Max-Planck-Institut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für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europäische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Rechtsgeschichte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), pp. 463-487 (en allemand)</w:t>
      </w:r>
    </w:p>
    <w:p w14:paraId="4E5596F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Du notaire à l’avocat : métamorphose du juriste et transformations sociales en Grèce au XIXe siècle », dans A.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Mazzacane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C.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Vano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Università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professioni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giuridiche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in Europa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nell’età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liberale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Naples, 1994, p. 371-388 (en italien)</w:t>
      </w:r>
    </w:p>
    <w:p w14:paraId="7CD6AF0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Entrées :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Mpales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Paparregopoulos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Pappoulias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Polygenes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N.N.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Saripolos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Svolos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Triantafyllopoulos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Zepos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dans M.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Stolleis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Juristen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Ein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biographisches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Lexikon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München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Beck, 1994, pp. 443 sq., 472 sq., 474 sq., 494 sq., 538 sq., 600 sq., 618 sq., 670 sq. (en allemand).</w:t>
      </w:r>
    </w:p>
    <w:p w14:paraId="1A1BD0B8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La transmission des sources juridiques byzantines durant l’occupation ottomane en Grèce », dans R. Lauer et P. Schreiner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Die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Kultur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Griechenlands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in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Mittelalter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und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Neuzeit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Colloque de la Commission du Sud-Est Européen de l’Académie de Göttingen,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Vanderhoeck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Ruprecht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1996, pp. 374-386 (en allemand)</w:t>
      </w:r>
    </w:p>
    <w:p w14:paraId="2E1CDB9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La métaphore dans le langage politique en Grèce durant la période 1822-1827 », dans le volume A la mémoire du professeur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Alcis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Argyriadis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Athènes, 1995, p. 71-81 (en grec)</w:t>
      </w:r>
    </w:p>
    <w:p w14:paraId="1DBDDA0B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La transformation des concepts de représentation et de loi en Grèce au début du XIXe siècle », dans Fr. Burdeau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.), Administration et droit. Actes des journées de la Société d’Histoire du droit, LGDJ, 1996, p. 273-283</w:t>
      </w:r>
    </w:p>
    <w:p w14:paraId="3D02F64F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  <w:lang w:val="en-US"/>
        </w:rPr>
      </w:pPr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« Byzantine law as practice and as history in the nineteenth century », dans David Ricks et Paul </w:t>
      </w:r>
      <w:proofErr w:type="spellStart"/>
      <w:r w:rsidRPr="000D2E7A">
        <w:rPr>
          <w:rFonts w:ascii="Arial" w:hAnsi="Arial" w:cs="Arial"/>
          <w:bCs/>
          <w:sz w:val="18"/>
          <w:szCs w:val="18"/>
          <w:lang w:val="en-US"/>
        </w:rPr>
        <w:t>Magdalino</w:t>
      </w:r>
      <w:proofErr w:type="spellEnd"/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 (dir.), Byzantium and the Modern Greek Identity, Center for Hellenic Studies, King's College, London, 1998, pp. 35-47</w:t>
      </w:r>
    </w:p>
    <w:p w14:paraId="3B14195F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N.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Saripolos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la théorie de la législation en Grèce au début du XXe siècle » (en grec), dans Digesta. Etudes d’histoire du droit, semestre d’été 2000, p.103-119</w:t>
      </w:r>
    </w:p>
    <w:p w14:paraId="56BD2C89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Les recherches sur l’histoire du droit du XIXe siècle en Grèce »,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Zeitschrift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für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Neuere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Rechtsgeschichte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23e année, 1/2 (2001), pp. 121-133 (en allemand)</w:t>
      </w:r>
    </w:p>
    <w:p w14:paraId="01F8E37F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Rhigas et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Corais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deux visions de la renaissance de la Grèce », dans Rhigas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Velestinlis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Intellectuel et combattant de la Liberté, Unesco, 2002, pp. 267-278</w:t>
      </w:r>
    </w:p>
    <w:p w14:paraId="530732E0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Rudolf von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Gneist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: la justice administrative, institution nécessaire de l’Etat de droit », dans O.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Jouanjan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Figures de l’Etat de droit. Le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Rechtsstaat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dans l’histoire intellectuelle et constitutionnelle de l’Allemagne, Presses Universitaires de Strasbourg, 2001, p. 235-252.</w:t>
      </w:r>
    </w:p>
    <w:p w14:paraId="2D7B2F9F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L’administration locale entre nature et Etat », Revue française d’Histoire des idées politiques 23, 1er sem. 2006, p. 83-128</w:t>
      </w:r>
    </w:p>
    <w:p w14:paraId="1C8D9F4D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Rapprochements entre la théorie de Maurice Hauriou et la doctrine publiciste allemande de la fin du XIXe et du début du XXe siècle », dans J.-Ph. Bras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L’institution, Passé et avenir d’une catégorie juridique,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L’Harmattan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2008, pp. 123-151.</w:t>
      </w:r>
    </w:p>
    <w:p w14:paraId="25F9942D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L’histoire du Droit Européen et son enseignement dans un contexte mondialisé », dans de B. H. Oppermann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.), International Legal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Studies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by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European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Scholars of the ELPIS Network,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Universitätsverlag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Halle-Wittenberg, 2009, pp. 11-18</w:t>
      </w:r>
    </w:p>
    <w:p w14:paraId="5688D9B0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Une conception théocentrique des droits de l’homme : F.J. Stahl », dans Droit naturel et droits de l’homme, textes réunis par Martial Mathieu, Société d’histoire du droit, Actes des Journées Internationales 2009 (Grenoble-Vizille), PUG, 2011, pp. 151-166.</w:t>
      </w:r>
    </w:p>
    <w:p w14:paraId="2D25A758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lastRenderedPageBreak/>
        <w:t xml:space="preserve">« La science juridique grecque et la pensée française au XIXe siècle. Rapprochements dans le domaine du droit public » dans La France et la Grèce au XIXe siècle, Fondation du parlement grec pour le parlementarisme et la démocratie, éd.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Ev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Chrysos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/ Chr.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Farnaud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Athènes 2012, pp. 177-189 (en grec)</w:t>
      </w:r>
    </w:p>
    <w:p w14:paraId="1891A261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260F1AB0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proofErr w:type="gramStart"/>
      <w:r w:rsidRPr="000D2E7A">
        <w:rPr>
          <w:rFonts w:ascii="Arial" w:hAnsi="Arial" w:cs="Arial"/>
          <w:bCs/>
          <w:sz w:val="18"/>
          <w:szCs w:val="18"/>
        </w:rPr>
        <w:t>«Théories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autour de la fonction royale en Grèce lors de la seconde moitié du XIXe siècle »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Antecessor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Mélanges en honneur du prof.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Sp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Troianos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sous la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de V.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Leontaritou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K.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Bourdara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E.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Papagianni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Sakoulas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Athènes 2013, p. 85-105 (en grec)</w:t>
      </w:r>
    </w:p>
    <w:p w14:paraId="358F69C3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Rousseau lu par Friedrich Julius Stahl : le désaccord parfait », dans Rousseau chez les juristes sous la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de C.M. Herrera,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Kimé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2013, p.27-42</w:t>
      </w:r>
    </w:p>
    <w:p w14:paraId="7E7611A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Friedrich Julius Stahl et la monarchie constitutionnelle française » dans Histoire, peuple et </w:t>
      </w:r>
      <w:proofErr w:type="gramStart"/>
      <w:r w:rsidRPr="000D2E7A">
        <w:rPr>
          <w:rFonts w:ascii="Arial" w:hAnsi="Arial" w:cs="Arial"/>
          <w:bCs/>
          <w:sz w:val="18"/>
          <w:szCs w:val="18"/>
        </w:rPr>
        <w:t>droit  Mélanges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offerts au professeur Jacques Bouveresse, textes réunis par G. Davy, R. Eckert et V. Lemonnier –Lesage, PURH, 2014, p. 207-222</w:t>
      </w:r>
    </w:p>
    <w:p w14:paraId="421FB861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  <w:lang w:val="en-US"/>
        </w:rPr>
      </w:pPr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« Ancient and new </w:t>
      </w:r>
      <w:proofErr w:type="gramStart"/>
      <w:r w:rsidRPr="000D2E7A">
        <w:rPr>
          <w:rFonts w:ascii="Arial" w:hAnsi="Arial" w:cs="Arial"/>
          <w:bCs/>
          <w:sz w:val="18"/>
          <w:szCs w:val="18"/>
          <w:lang w:val="en-US"/>
        </w:rPr>
        <w:t>globalization :</w:t>
      </w:r>
      <w:proofErr w:type="gramEnd"/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 a few history lessons » dans Portugal, Europe and the Globalization of Law, Law Faculty, </w:t>
      </w:r>
      <w:proofErr w:type="spellStart"/>
      <w:r w:rsidRPr="000D2E7A">
        <w:rPr>
          <w:rFonts w:ascii="Arial" w:hAnsi="Arial" w:cs="Arial"/>
          <w:bCs/>
          <w:sz w:val="18"/>
          <w:szCs w:val="18"/>
          <w:lang w:val="en-US"/>
        </w:rPr>
        <w:t>Université</w:t>
      </w:r>
      <w:proofErr w:type="spellEnd"/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 de </w:t>
      </w:r>
      <w:proofErr w:type="spellStart"/>
      <w:r w:rsidRPr="000D2E7A">
        <w:rPr>
          <w:rFonts w:ascii="Arial" w:hAnsi="Arial" w:cs="Arial"/>
          <w:bCs/>
          <w:sz w:val="18"/>
          <w:szCs w:val="18"/>
          <w:lang w:val="en-US"/>
        </w:rPr>
        <w:t>Lisbonne</w:t>
      </w:r>
      <w:proofErr w:type="spellEnd"/>
      <w:r w:rsidRPr="000D2E7A">
        <w:rPr>
          <w:rFonts w:ascii="Arial" w:hAnsi="Arial" w:cs="Arial"/>
          <w:bCs/>
          <w:sz w:val="18"/>
          <w:szCs w:val="18"/>
          <w:lang w:val="en-US"/>
        </w:rPr>
        <w:t>, 2015, p. 124-132</w:t>
      </w:r>
    </w:p>
    <w:p w14:paraId="20D372B1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Le droit au miroir de l’histoire », dans La pensée du doyen Hauriou à l’épreuve du temps : quel(s) héritage(s) ? sous la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. de Chr. Alonso, A. Duranton, J. Schmitz, PUAM, 2015, p. 31-44</w:t>
      </w:r>
    </w:p>
    <w:p w14:paraId="3D4D959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Réponses conservatrices à la crise révolutionnaire » dans Crise(s) et Droit(s), Contributions en l’honneur du professeur Jacques Bouveresse, </w:t>
      </w:r>
      <w:proofErr w:type="gramStart"/>
      <w:r w:rsidRPr="000D2E7A">
        <w:rPr>
          <w:rFonts w:ascii="Arial" w:hAnsi="Arial" w:cs="Arial"/>
          <w:bCs/>
          <w:sz w:val="18"/>
          <w:szCs w:val="18"/>
        </w:rPr>
        <w:t>sous  la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. de Guy Quintane, et Chr. Otero, L’Epitoge, Lextenso, 2015, p. 49-60</w:t>
      </w:r>
    </w:p>
    <w:p w14:paraId="4EC150F5" w14:textId="6DDDD30E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>« Du sentiment national à la formation d’un Etat : l</w:t>
      </w:r>
      <w:proofErr w:type="gramStart"/>
      <w:r w:rsidRPr="000D2E7A">
        <w:rPr>
          <w:rFonts w:ascii="Arial" w:hAnsi="Arial" w:cs="Arial"/>
          <w:bCs/>
          <w:sz w:val="18"/>
          <w:szCs w:val="18"/>
        </w:rPr>
        <w:t>’«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argument linguistique » dans la Grèce du XIXe siècle », actes du Colloque « Langues et nations au XIXe siècle » organisé par C.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Argyriadis-Kervegan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G. Bacot (Université de Cergy-Pontoise, CPJP), dans la Revue française d’Histoire des Idées Politiques, 48, 2e sem. 2018, p.165-189.</w:t>
      </w:r>
    </w:p>
    <w:p w14:paraId="15609067" w14:textId="777777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Qui a peur du droit d’association ? Les juristes grecs du XIXe siècle et la question des coalitions », à paraître dans « Saisir et gérer la peur : anthropologie de la peur en Grèce, de l’Antiquité à l’ère chrétienne », actes du colloque organisé par l’Ecole française d’Athènes, l’équipe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Anhima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(Univ. Paris 1 Panthéon-Sorbonne), l’Université Paul Valéry de Montpellier, l’Université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Panteion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d’Athènes, l’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Hellenic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Open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University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and Open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University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of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Cyprus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et le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Swedish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Institute of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Athens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à paraître aux Presses Universitaires de Rennes.</w:t>
      </w:r>
    </w:p>
    <w:p w14:paraId="25BF7F6A" w14:textId="0445DF77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proofErr w:type="gramStart"/>
      <w:r w:rsidRPr="000D2E7A">
        <w:rPr>
          <w:rFonts w:ascii="Arial" w:hAnsi="Arial" w:cs="Arial"/>
          <w:bCs/>
          <w:sz w:val="18"/>
          <w:szCs w:val="18"/>
        </w:rPr>
        <w:t>«  Droits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subjectifs et théories holistes de la société : Althusius,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Gierke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Duguit » dans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Ol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Beaud, C.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Colliot-Thélène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J.F.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Kervegan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(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.) « Droits subjectifs et citoyenneté », Classiques Garnier 2019, p. 25-48.</w:t>
      </w:r>
    </w:p>
    <w:p w14:paraId="7C81F728" w14:textId="3E11430A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  <w:lang w:val="en-US"/>
        </w:rPr>
      </w:pPr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Stahl, Friedrich Julius “, </w:t>
      </w:r>
      <w:proofErr w:type="gramStart"/>
      <w:r w:rsidRPr="000D2E7A">
        <w:rPr>
          <w:rFonts w:ascii="Arial" w:hAnsi="Arial" w:cs="Arial"/>
          <w:bCs/>
          <w:sz w:val="18"/>
          <w:szCs w:val="18"/>
          <w:lang w:val="en-US"/>
        </w:rPr>
        <w:t>dans :</w:t>
      </w:r>
      <w:proofErr w:type="gramEnd"/>
      <w:r w:rsidRPr="000D2E7A">
        <w:rPr>
          <w:rFonts w:ascii="Arial" w:hAnsi="Arial" w:cs="Arial"/>
          <w:bCs/>
          <w:sz w:val="18"/>
          <w:szCs w:val="18"/>
          <w:lang w:val="en-US"/>
        </w:rPr>
        <w:t xml:space="preserve"> Sellers, M., </w:t>
      </w:r>
      <w:proofErr w:type="spellStart"/>
      <w:r w:rsidRPr="000D2E7A">
        <w:rPr>
          <w:rFonts w:ascii="Arial" w:hAnsi="Arial" w:cs="Arial"/>
          <w:bCs/>
          <w:sz w:val="18"/>
          <w:szCs w:val="18"/>
          <w:lang w:val="en-US"/>
        </w:rPr>
        <w:t>Kirste</w:t>
      </w:r>
      <w:proofErr w:type="spellEnd"/>
      <w:r w:rsidRPr="000D2E7A">
        <w:rPr>
          <w:rFonts w:ascii="Arial" w:hAnsi="Arial" w:cs="Arial"/>
          <w:bCs/>
          <w:sz w:val="18"/>
          <w:szCs w:val="18"/>
          <w:lang w:val="en-US"/>
        </w:rPr>
        <w:t>, S., (eds.) Encyclopedia of  the Philosophy of Law and Social Philosophy, Springer, Dordrecht (IVR Encyclopedia online)</w:t>
      </w:r>
    </w:p>
    <w:p w14:paraId="20F3BD08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  <w:lang w:val="en-US"/>
        </w:rPr>
      </w:pPr>
    </w:p>
    <w:p w14:paraId="68848D68" w14:textId="77777777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D2E7A">
        <w:rPr>
          <w:rFonts w:ascii="Arial" w:hAnsi="Arial" w:cs="Arial"/>
          <w:b/>
          <w:bCs/>
          <w:sz w:val="18"/>
          <w:szCs w:val="18"/>
        </w:rPr>
        <w:t>Traduction</w:t>
      </w:r>
    </w:p>
    <w:p w14:paraId="51D2EBBC" w14:textId="77777777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737AE99E" w14:textId="4031CEAF" w:rsidR="000D2E7A" w:rsidRPr="000D2E7A" w:rsidRDefault="000D2E7A" w:rsidP="000D2E7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Traduction et présentation de Otto von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Gierke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« L’idée germanique de l’Etat », Revue d’Histoire des idées politiques 23, 1er sem.2006, p. 169-191</w:t>
      </w:r>
    </w:p>
    <w:p w14:paraId="2008C679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</w:p>
    <w:p w14:paraId="0BB2C995" w14:textId="5D5DE5B6" w:rsid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D2E7A">
        <w:rPr>
          <w:rFonts w:ascii="Arial" w:hAnsi="Arial" w:cs="Arial"/>
          <w:b/>
          <w:bCs/>
          <w:sz w:val="18"/>
          <w:szCs w:val="18"/>
        </w:rPr>
        <w:t>Comptes rendus</w:t>
      </w:r>
    </w:p>
    <w:p w14:paraId="764250F4" w14:textId="77777777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64EC0064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Kantorowicz, Mourir pour la patrie et autres essais,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Rechtshistorisches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Journal, 4 (1985), pp. 181-182 (en allemand)</w:t>
      </w:r>
    </w:p>
    <w:p w14:paraId="4CD7DD0F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Goody, La logique de l'écriture. Aux origines des sociétés humaines,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Quaderni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Fiorentini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17 (1988) (en allemand)</w:t>
      </w:r>
    </w:p>
    <w:p w14:paraId="10487566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« Un monde à part : Arlette Farge, Le goût de l'archive »,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Rechtshistorisches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Journal, 9 (1990), pp. 286-290 (en allemand)</w:t>
      </w:r>
    </w:p>
    <w:p w14:paraId="2E93D519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El.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Papagianni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La jurisprudence relative au droit de propriété des tribunaux ecclésiastiques de l'époque byzantine et post-byzantine,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Byzantinische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0D2E7A">
        <w:rPr>
          <w:rFonts w:ascii="Arial" w:hAnsi="Arial" w:cs="Arial"/>
          <w:bCs/>
          <w:sz w:val="18"/>
          <w:szCs w:val="18"/>
        </w:rPr>
        <w:t>Zeitschrift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,</w:t>
      </w:r>
      <w:proofErr w:type="gramEnd"/>
      <w:r w:rsidRPr="000D2E7A">
        <w:rPr>
          <w:rFonts w:ascii="Arial" w:hAnsi="Arial" w:cs="Arial"/>
          <w:bCs/>
          <w:sz w:val="18"/>
          <w:szCs w:val="18"/>
        </w:rPr>
        <w:t xml:space="preserve"> 86-87, 1/1994, p. 157 sq. (en allemand)</w:t>
      </w:r>
    </w:p>
    <w:p w14:paraId="036EDA36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proofErr w:type="spellStart"/>
      <w:r w:rsidRPr="000D2E7A">
        <w:rPr>
          <w:rFonts w:ascii="Arial" w:hAnsi="Arial" w:cs="Arial"/>
          <w:bCs/>
          <w:sz w:val="18"/>
          <w:szCs w:val="18"/>
        </w:rPr>
        <w:t>Ev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Katerelos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La dissolution du mariage chez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Demetrios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Chomatianos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et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Ioannes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Apokaukos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Une contribution à l'histoire du droit byzantin du 13e siècle,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Byzantinische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Zeitschrift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86-87, 1/1994, p. 158 sq. (en allemand)</w:t>
      </w:r>
    </w:p>
    <w:p w14:paraId="34E3E89A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proofErr w:type="spellStart"/>
      <w:r w:rsidRPr="000D2E7A">
        <w:rPr>
          <w:rFonts w:ascii="Arial" w:hAnsi="Arial" w:cs="Arial"/>
          <w:bCs/>
          <w:sz w:val="18"/>
          <w:szCs w:val="18"/>
        </w:rPr>
        <w:lastRenderedPageBreak/>
        <w:t>Tsapogas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, Rationalisation de l’Etat et mouvement constitutionnel en Grèce (1832-1843),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Zeitschrift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für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neuere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Rechtsgeschichte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19/1997, 3-4, pp. 302-304 (en allemand)</w:t>
      </w:r>
    </w:p>
    <w:p w14:paraId="265F26A7" w14:textId="7777777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Doctrine publiciste et droit romain, Revue Française des Idées Politiques, 41.2/2015,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L’Harmattan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, Revue d’Histoire des Facultés de Droit, no 34, 2014</w:t>
      </w:r>
    </w:p>
    <w:p w14:paraId="5717F1B4" w14:textId="4BB29EC7" w:rsidR="000D2E7A" w:rsidRPr="000D2E7A" w:rsidRDefault="000D2E7A" w:rsidP="000D2E7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18"/>
        </w:rPr>
      </w:pPr>
      <w:r w:rsidRPr="000D2E7A">
        <w:rPr>
          <w:rFonts w:ascii="Arial" w:hAnsi="Arial" w:cs="Arial"/>
          <w:bCs/>
          <w:sz w:val="18"/>
          <w:szCs w:val="18"/>
        </w:rPr>
        <w:t xml:space="preserve">Les censures dans le Monde, XIXe-XXIe siècle, sous la </w:t>
      </w:r>
      <w:proofErr w:type="spellStart"/>
      <w:r w:rsidRPr="000D2E7A">
        <w:rPr>
          <w:rFonts w:ascii="Arial" w:hAnsi="Arial" w:cs="Arial"/>
          <w:bCs/>
          <w:sz w:val="18"/>
          <w:szCs w:val="18"/>
        </w:rPr>
        <w:t>dir</w:t>
      </w:r>
      <w:proofErr w:type="spellEnd"/>
      <w:r w:rsidRPr="000D2E7A">
        <w:rPr>
          <w:rFonts w:ascii="Arial" w:hAnsi="Arial" w:cs="Arial"/>
          <w:bCs/>
          <w:sz w:val="18"/>
          <w:szCs w:val="18"/>
        </w:rPr>
        <w:t>. de L. Martin, PUR, 2016, dans la Revue historique de droit français et étranger, No 4, Oct.-Déc. 2016, p.610-614.</w:t>
      </w:r>
    </w:p>
    <w:p w14:paraId="7BA8173F" w14:textId="68DF5C5B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5BE6F722" w14:textId="17F0C934" w:rsidR="000D2E7A" w:rsidRPr="000D2E7A" w:rsidRDefault="000D2E7A" w:rsidP="000D2E7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sectPr w:rsidR="000D2E7A" w:rsidRPr="000D2E7A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0862" w14:textId="77777777" w:rsidR="00B95DCB" w:rsidRDefault="00B95DCB" w:rsidP="00F342F6">
      <w:r>
        <w:separator/>
      </w:r>
    </w:p>
  </w:endnote>
  <w:endnote w:type="continuationSeparator" w:id="0">
    <w:p w14:paraId="12E18A6B" w14:textId="77777777" w:rsidR="00B95DCB" w:rsidRDefault="00B95DCB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E11F" w14:textId="77777777" w:rsidR="00B95DCB" w:rsidRDefault="00B95DCB" w:rsidP="00F342F6">
      <w:r>
        <w:separator/>
      </w:r>
    </w:p>
  </w:footnote>
  <w:footnote w:type="continuationSeparator" w:id="0">
    <w:p w14:paraId="1E1BBA20" w14:textId="77777777" w:rsidR="00B95DCB" w:rsidRDefault="00B95DCB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2E7A"/>
    <w:rsid w:val="000D3D3F"/>
    <w:rsid w:val="000E5D31"/>
    <w:rsid w:val="000F24C4"/>
    <w:rsid w:val="0020609E"/>
    <w:rsid w:val="002333AF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95DCB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5564A-F3F2-4A33-B27E-3AC9DAF3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2022-06-30T12:50:00Z</dcterms:created>
  <dcterms:modified xsi:type="dcterms:W3CDTF">2022-06-30T12:50:00Z</dcterms:modified>
</cp:coreProperties>
</file>