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393FA39F" w14:textId="7EFE6A32" w:rsidR="002D7F33" w:rsidRPr="002D7F33" w:rsidRDefault="002345BB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r>
        <w:rPr>
          <w:rFonts w:ascii="Arial" w:hAnsi="Arial" w:cs="Arial"/>
          <w:b/>
          <w:bCs/>
          <w:color w:val="3E3B38"/>
          <w:sz w:val="36"/>
          <w:szCs w:val="36"/>
        </w:rPr>
        <w:t>Céline ROYNIER</w:t>
      </w:r>
    </w:p>
    <w:bookmarkEnd w:id="0"/>
    <w:p w14:paraId="6EB3632C" w14:textId="1DC97547" w:rsidR="003A1D74" w:rsidRDefault="002345BB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28"/>
          <w:szCs w:val="36"/>
        </w:rPr>
      </w:pPr>
      <w:r>
        <w:rPr>
          <w:rFonts w:ascii="Arial" w:hAnsi="Arial" w:cs="Arial"/>
          <w:bCs/>
          <w:color w:val="3E3B38"/>
          <w:sz w:val="28"/>
          <w:szCs w:val="36"/>
        </w:rPr>
        <w:t>Professeur des universités en droit public</w:t>
      </w:r>
    </w:p>
    <w:p w14:paraId="03496CF5" w14:textId="32E5AD86" w:rsidR="00ED671D" w:rsidRDefault="00ED671D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</w:p>
    <w:p w14:paraId="72F07961" w14:textId="06642B8C" w:rsidR="003A1D74" w:rsidRDefault="002345BB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Monographies</w:t>
      </w:r>
    </w:p>
    <w:p w14:paraId="4BE73B6D" w14:textId="77777777" w:rsidR="002345BB" w:rsidRPr="00CE4422" w:rsidRDefault="002345BB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28428522" w14:textId="77777777" w:rsidR="002345BB" w:rsidRPr="002345BB" w:rsidRDefault="002345BB" w:rsidP="002345BB">
      <w:pPr>
        <w:pStyle w:val="Paragraphedeliste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2345BB">
        <w:rPr>
          <w:rFonts w:ascii="Arial" w:hAnsi="Arial" w:cs="Arial"/>
          <w:color w:val="3E3B38"/>
          <w:sz w:val="18"/>
          <w:szCs w:val="20"/>
        </w:rPr>
        <w:t xml:space="preserve">Le problème de la liberté dans le constitutionnalisme britannique, éd. Garnier Classiques, coll. « Bibliothèque de la pensée juridique », </w:t>
      </w:r>
      <w:proofErr w:type="spellStart"/>
      <w:r w:rsidRPr="002345BB">
        <w:rPr>
          <w:rFonts w:ascii="Arial" w:hAnsi="Arial" w:cs="Arial"/>
          <w:color w:val="3E3B38"/>
          <w:sz w:val="18"/>
          <w:szCs w:val="20"/>
        </w:rPr>
        <w:t>dir</w:t>
      </w:r>
      <w:proofErr w:type="spellEnd"/>
      <w:r w:rsidRPr="002345BB">
        <w:rPr>
          <w:rFonts w:ascii="Arial" w:hAnsi="Arial" w:cs="Arial"/>
          <w:color w:val="3E3B38"/>
          <w:sz w:val="18"/>
          <w:szCs w:val="20"/>
        </w:rPr>
        <w:t xml:space="preserve">. F. </w:t>
      </w:r>
      <w:proofErr w:type="spellStart"/>
      <w:r w:rsidRPr="002345BB">
        <w:rPr>
          <w:rFonts w:ascii="Arial" w:hAnsi="Arial" w:cs="Arial"/>
          <w:color w:val="3E3B38"/>
          <w:sz w:val="18"/>
          <w:szCs w:val="20"/>
        </w:rPr>
        <w:t>Kervegan</w:t>
      </w:r>
      <w:proofErr w:type="spellEnd"/>
      <w:r w:rsidRPr="002345BB">
        <w:rPr>
          <w:rFonts w:ascii="Arial" w:hAnsi="Arial" w:cs="Arial"/>
          <w:color w:val="3E3B38"/>
          <w:sz w:val="18"/>
          <w:szCs w:val="20"/>
        </w:rPr>
        <w:t xml:space="preserve"> et O. Beaud, 2020.</w:t>
      </w:r>
    </w:p>
    <w:p w14:paraId="76C73730" w14:textId="00DFACD4" w:rsidR="00663E1D" w:rsidRDefault="002345BB" w:rsidP="002345BB">
      <w:pPr>
        <w:pStyle w:val="Paragraphedeliste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2345BB">
        <w:rPr>
          <w:rFonts w:ascii="Arial" w:hAnsi="Arial" w:cs="Arial"/>
          <w:color w:val="3E3B38"/>
          <w:sz w:val="18"/>
          <w:szCs w:val="20"/>
        </w:rPr>
        <w:t>Les Professionnels de santé en Europe. La notion de professionnel de professionnel de santé. Ebook. Paris Descartes, Institut Droit et Santé, 2018.</w:t>
      </w:r>
    </w:p>
    <w:p w14:paraId="1FF5E788" w14:textId="77777777" w:rsidR="002345BB" w:rsidRPr="002345BB" w:rsidRDefault="002345BB" w:rsidP="002345BB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24776D39" w14:textId="0293A02C" w:rsidR="008A598F" w:rsidRPr="00CE4422" w:rsidRDefault="002345BB" w:rsidP="008A598F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Direction des dossiers de revues</w:t>
      </w:r>
    </w:p>
    <w:p w14:paraId="608948ED" w14:textId="24AC8563" w:rsidR="008A598F" w:rsidRDefault="008A598F" w:rsidP="008A598F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1CBD909A" w14:textId="6C0A0BE3" w:rsidR="002345BB" w:rsidRPr="002345BB" w:rsidRDefault="002345BB" w:rsidP="002345BB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2345BB">
        <w:rPr>
          <w:rFonts w:ascii="Arial" w:hAnsi="Arial" w:cs="Arial"/>
          <w:color w:val="3E3B38"/>
          <w:sz w:val="18"/>
          <w:szCs w:val="20"/>
        </w:rPr>
        <w:t xml:space="preserve">Le droit politique face à la Ve République, Jus </w:t>
      </w:r>
      <w:proofErr w:type="spellStart"/>
      <w:r w:rsidRPr="002345BB">
        <w:rPr>
          <w:rFonts w:ascii="Arial" w:hAnsi="Arial" w:cs="Arial"/>
          <w:color w:val="3E3B38"/>
          <w:sz w:val="18"/>
          <w:szCs w:val="20"/>
        </w:rPr>
        <w:t>politicum</w:t>
      </w:r>
      <w:proofErr w:type="spellEnd"/>
      <w:r w:rsidRPr="002345BB">
        <w:rPr>
          <w:rFonts w:ascii="Arial" w:hAnsi="Arial" w:cs="Arial"/>
          <w:color w:val="3E3B38"/>
          <w:sz w:val="18"/>
          <w:szCs w:val="20"/>
        </w:rPr>
        <w:t xml:space="preserve">, 24, 2020. http://juspoliticum.com/la-revue [en collaboration avec C. </w:t>
      </w:r>
      <w:proofErr w:type="spellStart"/>
      <w:r w:rsidRPr="002345BB">
        <w:rPr>
          <w:rFonts w:ascii="Arial" w:hAnsi="Arial" w:cs="Arial"/>
          <w:color w:val="3E3B38"/>
          <w:sz w:val="18"/>
          <w:szCs w:val="20"/>
        </w:rPr>
        <w:t>Bargues</w:t>
      </w:r>
      <w:proofErr w:type="spellEnd"/>
      <w:r w:rsidRPr="002345BB">
        <w:rPr>
          <w:rFonts w:ascii="Arial" w:hAnsi="Arial" w:cs="Arial"/>
          <w:color w:val="3E3B38"/>
          <w:sz w:val="18"/>
          <w:szCs w:val="20"/>
        </w:rPr>
        <w:t xml:space="preserve">, O. Beaud, E. </w:t>
      </w:r>
      <w:proofErr w:type="gramStart"/>
      <w:r w:rsidRPr="002345BB">
        <w:rPr>
          <w:rFonts w:ascii="Arial" w:hAnsi="Arial" w:cs="Arial"/>
          <w:color w:val="3E3B38"/>
          <w:sz w:val="18"/>
          <w:szCs w:val="20"/>
        </w:rPr>
        <w:t>Lemaire](</w:t>
      </w:r>
      <w:proofErr w:type="gramEnd"/>
      <w:r w:rsidRPr="002345BB">
        <w:rPr>
          <w:rFonts w:ascii="Arial" w:hAnsi="Arial" w:cs="Arial"/>
          <w:color w:val="3E3B38"/>
          <w:sz w:val="18"/>
          <w:szCs w:val="20"/>
        </w:rPr>
        <w:t xml:space="preserve">+ sortie en volume papier : Le droit politique face à la Ve République, Jus </w:t>
      </w:r>
      <w:proofErr w:type="spellStart"/>
      <w:r w:rsidRPr="002345BB">
        <w:rPr>
          <w:rFonts w:ascii="Arial" w:hAnsi="Arial" w:cs="Arial"/>
          <w:color w:val="3E3B38"/>
          <w:sz w:val="18"/>
          <w:szCs w:val="20"/>
        </w:rPr>
        <w:t>Politicum</w:t>
      </w:r>
      <w:proofErr w:type="spellEnd"/>
      <w:r w:rsidRPr="002345BB">
        <w:rPr>
          <w:rFonts w:ascii="Arial" w:hAnsi="Arial" w:cs="Arial"/>
          <w:color w:val="3E3B38"/>
          <w:sz w:val="18"/>
          <w:szCs w:val="20"/>
        </w:rPr>
        <w:t>, Dalloz, 2020).</w:t>
      </w:r>
    </w:p>
    <w:p w14:paraId="320B6466" w14:textId="14D92F6B" w:rsidR="008A598F" w:rsidRDefault="002345BB" w:rsidP="002345BB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2345BB">
        <w:rPr>
          <w:rFonts w:ascii="Arial" w:hAnsi="Arial" w:cs="Arial"/>
          <w:color w:val="3E3B38"/>
          <w:sz w:val="18"/>
          <w:szCs w:val="20"/>
        </w:rPr>
        <w:t xml:space="preserve"> Preuve, droit de la preuve et démocratie, Droit &amp; Philosophie, 2020 [en collaboration avec M. Unger]</w:t>
      </w:r>
    </w:p>
    <w:p w14:paraId="6AFCE872" w14:textId="77777777" w:rsidR="002345BB" w:rsidRP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656A6424" w14:textId="6DF9AB79" w:rsid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Directions d’ouvrages</w:t>
      </w:r>
    </w:p>
    <w:p w14:paraId="1E342237" w14:textId="51116921" w:rsid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23FAE5F7" w14:textId="6324F111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2345BB">
        <w:rPr>
          <w:rFonts w:ascii="Arial" w:hAnsi="Arial" w:cs="Arial"/>
          <w:bCs/>
          <w:sz w:val="18"/>
          <w:szCs w:val="20"/>
        </w:rPr>
        <w:t xml:space="preserve">Preuve, droit de la preuve et démocratie, numéro 11 de la revue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Droit&amp;Philosophie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>. Annuaire de l’Institut Michel Villey, 15 novembre 2019, coordination du numéro avec M. Unger.</w:t>
      </w:r>
    </w:p>
    <w:p w14:paraId="7C5AC99D" w14:textId="1E89BFBD" w:rsid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718FBF65" w14:textId="4480FFB2" w:rsid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Contributions à des ouvrages collectifs</w:t>
      </w:r>
    </w:p>
    <w:p w14:paraId="23DE30B3" w14:textId="1DFEFF1F" w:rsid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5A8E15A9" w14:textId="0B36CEF5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2345BB">
        <w:rPr>
          <w:rFonts w:ascii="Arial" w:hAnsi="Arial" w:cs="Arial"/>
          <w:bCs/>
          <w:sz w:val="18"/>
          <w:szCs w:val="20"/>
        </w:rPr>
        <w:t xml:space="preserve">« Mai 68 : l’exécutif sous tension », Le droit politique face à la Ve République, organisé par l’Institut Michel Villey, Université Paris II Panthéon Assas, les 6 et 7 juin 2019 : http://juspoliticum.com/article/L-Executif-sous-tension-Les-enseignements-de-Mai-68-1333.html [en collaboration avec C. Guérin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Bargues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>]</w:t>
      </w:r>
    </w:p>
    <w:p w14:paraId="50AE34B7" w14:textId="10AB6FED" w:rsid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</w:p>
    <w:p w14:paraId="1DAB6C13" w14:textId="6BEC5AA3" w:rsid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Articles dans des revues scientifiques</w:t>
      </w:r>
    </w:p>
    <w:p w14:paraId="655E080A" w14:textId="636745F7" w:rsid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0BF408DF" w14:textId="133BC3E1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2345BB">
        <w:rPr>
          <w:rFonts w:ascii="Arial" w:hAnsi="Arial" w:cs="Arial"/>
          <w:bCs/>
          <w:sz w:val="18"/>
          <w:szCs w:val="20"/>
        </w:rPr>
        <w:t>« La décision RIP 2019-1 du 9 mai 2019 du Conseil constitutionnel : “une décision limite” », Annuaire International de Justice Constitutionnelle 2019, XXXV, Economica PUAM, 2020, p. 67-79</w:t>
      </w:r>
    </w:p>
    <w:p w14:paraId="1BF19345" w14:textId="76D642CF" w:rsid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</w:p>
    <w:p w14:paraId="35692853" w14:textId="1797578B" w:rsid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Articles et contributions</w:t>
      </w:r>
    </w:p>
    <w:p w14:paraId="24063016" w14:textId="77777777" w:rsid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A79FB4A" w14:textId="76F3EF84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2345BB">
        <w:rPr>
          <w:rFonts w:ascii="Arial" w:hAnsi="Arial" w:cs="Arial"/>
          <w:bCs/>
          <w:sz w:val="18"/>
          <w:szCs w:val="20"/>
        </w:rPr>
        <w:t xml:space="preserve">« Mai 68 : l’exécutif sous tension », co-écrit avec C. Guérin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Bargues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 xml:space="preserve">, contribution aux actes du colloque Le droit politique face à la Ve République, organisé par l’Institut Michel Villey, Université Paris II Panthéon Assas, les 6 et 7 juin 2019, à paraître à la revue Jus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Politicum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 xml:space="preserve"> (article rendu).</w:t>
      </w:r>
    </w:p>
    <w:p w14:paraId="64AA2E2E" w14:textId="77777777" w:rsidR="002345BB" w:rsidRP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6FBA94EB" w14:textId="42809D62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2345BB">
        <w:rPr>
          <w:rFonts w:ascii="Arial" w:hAnsi="Arial" w:cs="Arial"/>
          <w:bCs/>
          <w:sz w:val="18"/>
          <w:szCs w:val="20"/>
        </w:rPr>
        <w:t xml:space="preserve">« L’anthropologie dans les conflits historiographiques de l’Angleterre prémoderne »,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Clio&amp;Themis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>. Revue électronique d’histoire du droit, numéro 16, 15 juin 2019, contribution aux journées d’études sur l’anthropologie juridique à la Renaissance, organisée par le CUREJ (Université de Rouen) et l’IUF (Nov. 2017).</w:t>
      </w:r>
    </w:p>
    <w:p w14:paraId="63EFDF06" w14:textId="77777777" w:rsidR="002345BB" w:rsidRP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044BD980" w14:textId="5F9B1C97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2345BB">
        <w:rPr>
          <w:rFonts w:ascii="Arial" w:hAnsi="Arial" w:cs="Arial"/>
          <w:bCs/>
          <w:sz w:val="18"/>
          <w:szCs w:val="20"/>
        </w:rPr>
        <w:t xml:space="preserve">« Science et jurisprudence chez F. Bacon », 16 octobre 2016, Institut Maurice Hauriou de Toulouse, Université de Toulouse 1 Capitole, in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dir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 xml:space="preserve">. T.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Pouthier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>, Droit constitutionnel et science de la nature, de Bacon à Kelsen, 2018, Presse de l’université Toulouse 1 Capitole.</w:t>
      </w:r>
    </w:p>
    <w:p w14:paraId="6CE3C1B0" w14:textId="77777777" w:rsidR="002345BB" w:rsidRP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788A73FF" w14:textId="42E87766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2345BB">
        <w:rPr>
          <w:rFonts w:ascii="Arial" w:hAnsi="Arial" w:cs="Arial"/>
          <w:bCs/>
          <w:sz w:val="18"/>
          <w:szCs w:val="20"/>
        </w:rPr>
        <w:lastRenderedPageBreak/>
        <w:t>« La liberté de manifestation au Royaume-Uni : éléments historiques » contribution au colloque organisé par l’université d’Aix-Marseille (mars 2016</w:t>
      </w:r>
      <w:proofErr w:type="gramStart"/>
      <w:r w:rsidRPr="002345BB">
        <w:rPr>
          <w:rFonts w:ascii="Arial" w:hAnsi="Arial" w:cs="Arial"/>
          <w:bCs/>
          <w:sz w:val="18"/>
          <w:szCs w:val="20"/>
        </w:rPr>
        <w:t>),  «</w:t>
      </w:r>
      <w:proofErr w:type="gramEnd"/>
      <w:r w:rsidRPr="002345BB">
        <w:rPr>
          <w:rFonts w:ascii="Arial" w:hAnsi="Arial" w:cs="Arial"/>
          <w:bCs/>
          <w:sz w:val="18"/>
          <w:szCs w:val="20"/>
        </w:rPr>
        <w:t xml:space="preserve"> la liberté de manifestation et les transformations de l’espace public contemporain », Jus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Politicum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>, revue de droit politique, février 2017, n°17, p. 445-466.</w:t>
      </w:r>
    </w:p>
    <w:p w14:paraId="7290EF9A" w14:textId="77777777" w:rsidR="002345BB" w:rsidRP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3D44CB6D" w14:textId="721305CD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2345BB">
        <w:rPr>
          <w:rFonts w:ascii="Arial" w:hAnsi="Arial" w:cs="Arial"/>
          <w:bCs/>
          <w:sz w:val="18"/>
          <w:szCs w:val="20"/>
        </w:rPr>
        <w:t xml:space="preserve">« Rapport général : la reconnaissance de l’opposition politique » in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dir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 xml:space="preserve">. J-Ph.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Derosier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 xml:space="preserve">, L’opposition politique, Lexis Nexis « Les cahiers du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ForInCIP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 xml:space="preserve"> », juin 2016, p. 7-22.</w:t>
      </w:r>
    </w:p>
    <w:p w14:paraId="133CDE68" w14:textId="77777777" w:rsidR="002345BB" w:rsidRP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212CEC0A" w14:textId="2AC51B32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2345BB">
        <w:rPr>
          <w:rFonts w:ascii="Arial" w:hAnsi="Arial" w:cs="Arial"/>
          <w:bCs/>
          <w:sz w:val="18"/>
          <w:szCs w:val="20"/>
        </w:rPr>
        <w:t xml:space="preserve">« Le droit britannique et la Première Guerre », contribution au colloque « Le droit public et la Première Guerre mondiale » (mars 2015), Jus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Politicum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>, revue de droit politique, janvier 2016, n°15, 19 pages.</w:t>
      </w:r>
    </w:p>
    <w:p w14:paraId="5367EE35" w14:textId="77777777" w:rsidR="002345BB" w:rsidRP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552A5865" w14:textId="4806F9F3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  <w:lang w:val="en-US"/>
        </w:rPr>
      </w:pPr>
      <w:r w:rsidRPr="002345BB">
        <w:rPr>
          <w:rFonts w:ascii="Arial" w:hAnsi="Arial" w:cs="Arial"/>
          <w:bCs/>
          <w:sz w:val="18"/>
          <w:szCs w:val="20"/>
        </w:rPr>
        <w:t xml:space="preserve">« Les Professionnels de santé en Europe », Les Tribunes de la Santé, Automne 2015, n°48, Editions de la santé. </w:t>
      </w:r>
      <w:r w:rsidRPr="002345BB">
        <w:rPr>
          <w:rFonts w:ascii="Arial" w:hAnsi="Arial" w:cs="Arial"/>
          <w:bCs/>
          <w:sz w:val="18"/>
          <w:szCs w:val="20"/>
          <w:lang w:val="en-US"/>
        </w:rPr>
        <w:t xml:space="preserve">Presses de </w:t>
      </w:r>
      <w:proofErr w:type="spellStart"/>
      <w:r w:rsidRPr="002345BB">
        <w:rPr>
          <w:rFonts w:ascii="Arial" w:hAnsi="Arial" w:cs="Arial"/>
          <w:bCs/>
          <w:sz w:val="18"/>
          <w:szCs w:val="20"/>
          <w:lang w:val="en-US"/>
        </w:rPr>
        <w:t>SciencesPo</w:t>
      </w:r>
      <w:proofErr w:type="spellEnd"/>
      <w:r w:rsidRPr="002345BB">
        <w:rPr>
          <w:rFonts w:ascii="Arial" w:hAnsi="Arial" w:cs="Arial"/>
          <w:bCs/>
          <w:sz w:val="18"/>
          <w:szCs w:val="20"/>
          <w:lang w:val="en-US"/>
        </w:rPr>
        <w:t>., p. 33-38.</w:t>
      </w:r>
    </w:p>
    <w:p w14:paraId="548DFF2B" w14:textId="77777777" w:rsidR="002345BB" w:rsidRP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  <w:lang w:val="en-US"/>
        </w:rPr>
      </w:pPr>
    </w:p>
    <w:p w14:paraId="668304B6" w14:textId="10DE297C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2345BB">
        <w:rPr>
          <w:rFonts w:ascii="Arial" w:hAnsi="Arial" w:cs="Arial"/>
          <w:bCs/>
          <w:sz w:val="18"/>
          <w:szCs w:val="20"/>
          <w:lang w:val="en-US"/>
        </w:rPr>
        <w:t xml:space="preserve">« A man’s house is his castle. </w:t>
      </w:r>
      <w:r w:rsidRPr="002345BB">
        <w:rPr>
          <w:rFonts w:ascii="Arial" w:hAnsi="Arial" w:cs="Arial"/>
          <w:bCs/>
          <w:sz w:val="18"/>
          <w:szCs w:val="20"/>
        </w:rPr>
        <w:t>Protection de l’intérieur et bien public », Droit et Philosophie, 2015, vol. 7, p. 31-46. Contribution à la journée d’études consacrée aux libertés et à la partition de l’espace organisée par l’Institut Michel Villey (université Paris II-Panthéon Assas) (Mai 2014).</w:t>
      </w:r>
    </w:p>
    <w:p w14:paraId="4B58B021" w14:textId="77777777" w:rsidR="002345BB" w:rsidRP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2469BF0D" w14:textId="66AAC53F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2345BB">
        <w:rPr>
          <w:rFonts w:ascii="Arial" w:hAnsi="Arial" w:cs="Arial"/>
          <w:bCs/>
          <w:sz w:val="18"/>
          <w:szCs w:val="20"/>
        </w:rPr>
        <w:t>« Le droit romain et les parlementaires anglais au XVIIe siècle », RFHIP, 2015, p. 25-41. Contribution à la journée d’études consacrée au droit romain et à la doctrine publiciste (Février 2014) organisée par le CERAP de l’Université Paris XIII-Nord, RFHIP.</w:t>
      </w:r>
    </w:p>
    <w:p w14:paraId="07D32021" w14:textId="77777777" w:rsidR="002345BB" w:rsidRP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498453A0" w14:textId="25367678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2345BB">
        <w:rPr>
          <w:rFonts w:ascii="Arial" w:hAnsi="Arial" w:cs="Arial"/>
          <w:bCs/>
          <w:sz w:val="18"/>
          <w:szCs w:val="20"/>
        </w:rPr>
        <w:t xml:space="preserve">« La liberté dans la tradition anglaise de la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common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 xml:space="preserve">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law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 xml:space="preserve"> », Annuaire de l’Institut Michel Villey, vol 5, Dalloz, 2015, p. 185-202. Contribution au colloque « Aspects philosophiques et juridiques de la notion de liberté » (Février 2012).</w:t>
      </w:r>
    </w:p>
    <w:p w14:paraId="7488FF75" w14:textId="77777777" w:rsidR="002345BB" w:rsidRP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46BD1FA5" w14:textId="55EF6A0D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2345BB">
        <w:rPr>
          <w:rFonts w:ascii="Arial" w:hAnsi="Arial" w:cs="Arial"/>
          <w:bCs/>
          <w:sz w:val="18"/>
          <w:szCs w:val="20"/>
        </w:rPr>
        <w:t xml:space="preserve">« Penser la justice constitutionnelle au-delà des modèles et des grands systèmes » (Novembre 2013) Revue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Politeai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 xml:space="preserve">,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Aut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>. 2014, n°26, p. 154-171. Contribution à la journée d’études « Modèles et modélisation en droit constitutionnel. Approches classiques, nouvelles pratiques », organisée par le Centre de Philosophie Juridique et Politique de l’Université de Cergy-Pontoise.</w:t>
      </w:r>
    </w:p>
    <w:p w14:paraId="6073C565" w14:textId="77777777" w:rsidR="002345BB" w:rsidRP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5468A655" w14:textId="3B1E055B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2345BB">
        <w:rPr>
          <w:rFonts w:ascii="Arial" w:hAnsi="Arial" w:cs="Arial"/>
          <w:bCs/>
          <w:sz w:val="18"/>
          <w:szCs w:val="20"/>
        </w:rPr>
        <w:t>Note sous l’arrêt du Conseil d’Etat (décision de non-renvoi d’une Question Prioritaire de Constitutionnalité) rendu le 10 octobre 2011 (n°350969) sur le CNESER statuant en matière disciplinaire (AJDA 2012. P. 664).</w:t>
      </w:r>
    </w:p>
    <w:p w14:paraId="4DC1E145" w14:textId="77777777" w:rsidR="002345BB" w:rsidRP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p w14:paraId="55FD20CA" w14:textId="2B57E8D0" w:rsidR="002345BB" w:rsidRPr="002345BB" w:rsidRDefault="002345BB" w:rsidP="002345BB">
      <w:pPr>
        <w:pStyle w:val="Paragraphedelist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proofErr w:type="gramStart"/>
      <w:r w:rsidRPr="002345BB">
        <w:rPr>
          <w:rFonts w:ascii="Arial" w:hAnsi="Arial" w:cs="Arial"/>
          <w:bCs/>
          <w:sz w:val="18"/>
          <w:szCs w:val="20"/>
        </w:rPr>
        <w:t>«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Selden</w:t>
      </w:r>
      <w:proofErr w:type="spellEnd"/>
      <w:proofErr w:type="gramEnd"/>
      <w:r w:rsidRPr="002345BB">
        <w:rPr>
          <w:rFonts w:ascii="Arial" w:hAnsi="Arial" w:cs="Arial"/>
          <w:bCs/>
          <w:sz w:val="18"/>
          <w:szCs w:val="20"/>
        </w:rPr>
        <w:t xml:space="preserve">, Coke : deux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common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 xml:space="preserve">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lawyers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 xml:space="preserve">, deux langages de la liberté ? », Annuaire de l’Institut Michel Villey, vol. 3, Dalloz, 2012, p. 217-241 (contribution colloque de juin 2010 « </w:t>
      </w:r>
      <w:proofErr w:type="spellStart"/>
      <w:r w:rsidRPr="002345BB">
        <w:rPr>
          <w:rFonts w:ascii="Arial" w:hAnsi="Arial" w:cs="Arial"/>
          <w:bCs/>
          <w:sz w:val="18"/>
          <w:szCs w:val="20"/>
        </w:rPr>
        <w:t>Selden</w:t>
      </w:r>
      <w:proofErr w:type="spellEnd"/>
      <w:r w:rsidRPr="002345BB">
        <w:rPr>
          <w:rFonts w:ascii="Arial" w:hAnsi="Arial" w:cs="Arial"/>
          <w:bCs/>
          <w:sz w:val="18"/>
          <w:szCs w:val="20"/>
        </w:rPr>
        <w:t>, juriste européen »)</w:t>
      </w:r>
    </w:p>
    <w:p w14:paraId="14CE089F" w14:textId="77777777" w:rsid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</w:p>
    <w:p w14:paraId="1D7B20D6" w14:textId="77777777" w:rsid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</w:p>
    <w:p w14:paraId="0291335B" w14:textId="77777777" w:rsidR="002345BB" w:rsidRP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</w:p>
    <w:p w14:paraId="258D8277" w14:textId="77777777" w:rsidR="002345BB" w:rsidRPr="002345BB" w:rsidRDefault="002345BB" w:rsidP="002345B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sectPr w:rsidR="002345BB" w:rsidRPr="002345BB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620C4" w14:textId="77777777" w:rsidR="00A863BE" w:rsidRDefault="00A863BE" w:rsidP="00F342F6">
      <w:r>
        <w:separator/>
      </w:r>
    </w:p>
  </w:endnote>
  <w:endnote w:type="continuationSeparator" w:id="0">
    <w:p w14:paraId="32C46016" w14:textId="77777777" w:rsidR="00A863BE" w:rsidRDefault="00A863BE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BC903" w14:textId="77777777" w:rsidR="00A863BE" w:rsidRDefault="00A863BE" w:rsidP="00F342F6">
      <w:r>
        <w:separator/>
      </w:r>
    </w:p>
  </w:footnote>
  <w:footnote w:type="continuationSeparator" w:id="0">
    <w:p w14:paraId="00609633" w14:textId="77777777" w:rsidR="00A863BE" w:rsidRDefault="00A863BE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5BC7"/>
    <w:multiLevelType w:val="hybridMultilevel"/>
    <w:tmpl w:val="3A44B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" w15:restartNumberingAfterBreak="0">
    <w:nsid w:val="1AF90B9A"/>
    <w:multiLevelType w:val="hybridMultilevel"/>
    <w:tmpl w:val="8A8CC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6E84"/>
    <w:multiLevelType w:val="hybridMultilevel"/>
    <w:tmpl w:val="2AE4C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026F3"/>
    <w:multiLevelType w:val="hybridMultilevel"/>
    <w:tmpl w:val="CD140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51510"/>
    <w:multiLevelType w:val="hybridMultilevel"/>
    <w:tmpl w:val="6680C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A36A9"/>
    <w:multiLevelType w:val="hybridMultilevel"/>
    <w:tmpl w:val="BA90D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52FF4"/>
    <w:multiLevelType w:val="hybridMultilevel"/>
    <w:tmpl w:val="DFF69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351FD"/>
    <w:multiLevelType w:val="hybridMultilevel"/>
    <w:tmpl w:val="1CBA8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876E0"/>
    <w:multiLevelType w:val="hybridMultilevel"/>
    <w:tmpl w:val="5CD83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A20"/>
    <w:multiLevelType w:val="hybridMultilevel"/>
    <w:tmpl w:val="85905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E233C"/>
    <w:multiLevelType w:val="hybridMultilevel"/>
    <w:tmpl w:val="CEC05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16C13"/>
    <w:multiLevelType w:val="hybridMultilevel"/>
    <w:tmpl w:val="E340B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A6264"/>
    <w:multiLevelType w:val="hybridMultilevel"/>
    <w:tmpl w:val="CE90F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F314E"/>
    <w:multiLevelType w:val="hybridMultilevel"/>
    <w:tmpl w:val="663EE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C4DA0"/>
    <w:multiLevelType w:val="hybridMultilevel"/>
    <w:tmpl w:val="69962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D75A4"/>
    <w:multiLevelType w:val="hybridMultilevel"/>
    <w:tmpl w:val="B3181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B6005"/>
    <w:multiLevelType w:val="hybridMultilevel"/>
    <w:tmpl w:val="B47C7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A5597"/>
    <w:multiLevelType w:val="hybridMultilevel"/>
    <w:tmpl w:val="985A2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1" w15:restartNumberingAfterBreak="0">
    <w:nsid w:val="660642DA"/>
    <w:multiLevelType w:val="hybridMultilevel"/>
    <w:tmpl w:val="F030E030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68292834"/>
    <w:multiLevelType w:val="hybridMultilevel"/>
    <w:tmpl w:val="353CA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61C92"/>
    <w:multiLevelType w:val="hybridMultilevel"/>
    <w:tmpl w:val="A1640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21790"/>
    <w:multiLevelType w:val="hybridMultilevel"/>
    <w:tmpl w:val="65529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26503"/>
    <w:multiLevelType w:val="hybridMultilevel"/>
    <w:tmpl w:val="C3D43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E3C38"/>
    <w:multiLevelType w:val="hybridMultilevel"/>
    <w:tmpl w:val="D9065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18"/>
  </w:num>
  <w:num w:numId="5">
    <w:abstractNumId w:val="5"/>
  </w:num>
  <w:num w:numId="6">
    <w:abstractNumId w:val="3"/>
  </w:num>
  <w:num w:numId="7">
    <w:abstractNumId w:val="14"/>
  </w:num>
  <w:num w:numId="8">
    <w:abstractNumId w:val="24"/>
  </w:num>
  <w:num w:numId="9">
    <w:abstractNumId w:val="16"/>
  </w:num>
  <w:num w:numId="10">
    <w:abstractNumId w:val="21"/>
  </w:num>
  <w:num w:numId="11">
    <w:abstractNumId w:val="6"/>
  </w:num>
  <w:num w:numId="12">
    <w:abstractNumId w:val="0"/>
  </w:num>
  <w:num w:numId="13">
    <w:abstractNumId w:val="7"/>
  </w:num>
  <w:num w:numId="14">
    <w:abstractNumId w:val="15"/>
  </w:num>
  <w:num w:numId="15">
    <w:abstractNumId w:val="13"/>
  </w:num>
  <w:num w:numId="16">
    <w:abstractNumId w:val="25"/>
  </w:num>
  <w:num w:numId="17">
    <w:abstractNumId w:val="8"/>
  </w:num>
  <w:num w:numId="18">
    <w:abstractNumId w:val="26"/>
  </w:num>
  <w:num w:numId="19">
    <w:abstractNumId w:val="10"/>
  </w:num>
  <w:num w:numId="20">
    <w:abstractNumId w:val="11"/>
  </w:num>
  <w:num w:numId="21">
    <w:abstractNumId w:val="9"/>
  </w:num>
  <w:num w:numId="22">
    <w:abstractNumId w:val="19"/>
  </w:num>
  <w:num w:numId="23">
    <w:abstractNumId w:val="22"/>
  </w:num>
  <w:num w:numId="24">
    <w:abstractNumId w:val="23"/>
  </w:num>
  <w:num w:numId="25">
    <w:abstractNumId w:val="12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35620"/>
    <w:rsid w:val="000A7E8F"/>
    <w:rsid w:val="000D2E7A"/>
    <w:rsid w:val="000D3D3F"/>
    <w:rsid w:val="000E3DFA"/>
    <w:rsid w:val="000E5D31"/>
    <w:rsid w:val="000F24C4"/>
    <w:rsid w:val="0020609E"/>
    <w:rsid w:val="002333AF"/>
    <w:rsid w:val="002345BB"/>
    <w:rsid w:val="002A3B7F"/>
    <w:rsid w:val="002D7F33"/>
    <w:rsid w:val="002F64FD"/>
    <w:rsid w:val="00313469"/>
    <w:rsid w:val="0032588D"/>
    <w:rsid w:val="0033033D"/>
    <w:rsid w:val="0033345C"/>
    <w:rsid w:val="003A1D74"/>
    <w:rsid w:val="00403D39"/>
    <w:rsid w:val="00422A7E"/>
    <w:rsid w:val="00425E65"/>
    <w:rsid w:val="004373F3"/>
    <w:rsid w:val="00460B69"/>
    <w:rsid w:val="0048140F"/>
    <w:rsid w:val="005259DD"/>
    <w:rsid w:val="005E076B"/>
    <w:rsid w:val="005E16F1"/>
    <w:rsid w:val="0062322B"/>
    <w:rsid w:val="00643436"/>
    <w:rsid w:val="00663E1D"/>
    <w:rsid w:val="00686F12"/>
    <w:rsid w:val="00720921"/>
    <w:rsid w:val="0073170B"/>
    <w:rsid w:val="007B5FB2"/>
    <w:rsid w:val="00812ACC"/>
    <w:rsid w:val="00832F66"/>
    <w:rsid w:val="008359B5"/>
    <w:rsid w:val="00854B87"/>
    <w:rsid w:val="0087069D"/>
    <w:rsid w:val="00870838"/>
    <w:rsid w:val="008A598F"/>
    <w:rsid w:val="008F6F82"/>
    <w:rsid w:val="0098770C"/>
    <w:rsid w:val="00A22947"/>
    <w:rsid w:val="00A257E7"/>
    <w:rsid w:val="00A25C27"/>
    <w:rsid w:val="00A6224B"/>
    <w:rsid w:val="00A75081"/>
    <w:rsid w:val="00A863BE"/>
    <w:rsid w:val="00A90834"/>
    <w:rsid w:val="00B111D3"/>
    <w:rsid w:val="00B61D6B"/>
    <w:rsid w:val="00B7791E"/>
    <w:rsid w:val="00B82446"/>
    <w:rsid w:val="00BE4192"/>
    <w:rsid w:val="00CE4422"/>
    <w:rsid w:val="00CE7652"/>
    <w:rsid w:val="00CF09F4"/>
    <w:rsid w:val="00CF6BE2"/>
    <w:rsid w:val="00E26FFC"/>
    <w:rsid w:val="00E72A9B"/>
    <w:rsid w:val="00ED671D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63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664BE2-CA7E-4289-AF6A-0F1B0826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2022-06-30T13:44:00Z</dcterms:created>
  <dcterms:modified xsi:type="dcterms:W3CDTF">2022-06-30T13:44:00Z</dcterms:modified>
</cp:coreProperties>
</file>