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2D7F33">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2D7F33">
      <w:pPr>
        <w:adjustRightInd w:val="0"/>
        <w:snapToGrid w:val="0"/>
        <w:ind w:left="680" w:right="680"/>
        <w:jc w:val="both"/>
        <w:rPr>
          <w:rFonts w:ascii="Berkeley-Book" w:hAnsi="Berkeley-Book" w:cs="Berkeley-Book"/>
          <w:color w:val="3E3B38"/>
          <w:sz w:val="22"/>
          <w:szCs w:val="22"/>
        </w:rPr>
      </w:pPr>
    </w:p>
    <w:p w14:paraId="393FA39F" w14:textId="69E4E183" w:rsidR="002D7F33" w:rsidRPr="002D7F33" w:rsidRDefault="00870838" w:rsidP="002D7F33">
      <w:pPr>
        <w:tabs>
          <w:tab w:val="left" w:pos="1134"/>
        </w:tabs>
        <w:autoSpaceDE w:val="0"/>
        <w:autoSpaceDN w:val="0"/>
        <w:adjustRightInd w:val="0"/>
        <w:snapToGrid w:val="0"/>
        <w:spacing w:line="276" w:lineRule="auto"/>
        <w:ind w:left="680" w:right="680"/>
        <w:jc w:val="both"/>
        <w:textAlignment w:val="center"/>
        <w:rPr>
          <w:rFonts w:ascii="Arial" w:hAnsi="Arial" w:cs="Arial"/>
          <w:b/>
          <w:bCs/>
          <w:color w:val="3E3B38"/>
          <w:sz w:val="36"/>
          <w:szCs w:val="36"/>
        </w:rPr>
      </w:pPr>
      <w:r>
        <w:rPr>
          <w:rFonts w:ascii="Arial" w:hAnsi="Arial" w:cs="Arial"/>
          <w:b/>
          <w:bCs/>
          <w:color w:val="3E3B38"/>
          <w:sz w:val="36"/>
          <w:szCs w:val="36"/>
        </w:rPr>
        <w:t xml:space="preserve">Gesa </w:t>
      </w:r>
      <w:r w:rsidR="00460B69">
        <w:rPr>
          <w:rFonts w:ascii="Arial" w:hAnsi="Arial" w:cs="Arial"/>
          <w:b/>
          <w:bCs/>
          <w:color w:val="3E3B38"/>
          <w:sz w:val="36"/>
          <w:szCs w:val="36"/>
        </w:rPr>
        <w:t>DANNENBERG</w:t>
      </w:r>
    </w:p>
    <w:p w14:paraId="6EB3632C" w14:textId="5E17EFB5" w:rsidR="003A1D74" w:rsidRPr="002D7F33" w:rsidRDefault="00460B69" w:rsidP="002D7F33">
      <w:pPr>
        <w:tabs>
          <w:tab w:val="left" w:pos="1134"/>
        </w:tabs>
        <w:autoSpaceDE w:val="0"/>
        <w:autoSpaceDN w:val="0"/>
        <w:adjustRightInd w:val="0"/>
        <w:snapToGrid w:val="0"/>
        <w:spacing w:line="276" w:lineRule="auto"/>
        <w:ind w:left="680" w:right="680"/>
        <w:jc w:val="both"/>
        <w:textAlignment w:val="center"/>
        <w:rPr>
          <w:rFonts w:ascii="Arial" w:hAnsi="Arial" w:cs="Arial"/>
          <w:bCs/>
          <w:color w:val="3E3B38"/>
          <w:sz w:val="16"/>
          <w:szCs w:val="20"/>
        </w:rPr>
      </w:pPr>
      <w:r>
        <w:rPr>
          <w:rFonts w:ascii="Arial" w:hAnsi="Arial" w:cs="Arial"/>
          <w:bCs/>
          <w:color w:val="3E3B38"/>
          <w:sz w:val="28"/>
          <w:szCs w:val="36"/>
        </w:rPr>
        <w:t>Maître de conférences</w:t>
      </w:r>
    </w:p>
    <w:p w14:paraId="25D09437" w14:textId="77777777" w:rsidR="00CE4422" w:rsidRDefault="00CE4422" w:rsidP="002D7F33">
      <w:pPr>
        <w:tabs>
          <w:tab w:val="left" w:pos="1134"/>
        </w:tabs>
        <w:autoSpaceDE w:val="0"/>
        <w:autoSpaceDN w:val="0"/>
        <w:adjustRightInd w:val="0"/>
        <w:snapToGrid w:val="0"/>
        <w:spacing w:line="276" w:lineRule="auto"/>
        <w:ind w:left="680" w:right="680"/>
        <w:jc w:val="both"/>
        <w:textAlignment w:val="center"/>
        <w:rPr>
          <w:rFonts w:ascii="Arial" w:hAnsi="Arial" w:cs="Arial"/>
          <w:b/>
          <w:bCs/>
          <w:color w:val="C00000"/>
          <w:sz w:val="20"/>
          <w:szCs w:val="20"/>
        </w:rPr>
      </w:pPr>
    </w:p>
    <w:p w14:paraId="72F07961" w14:textId="0EBDDB31" w:rsidR="003A1D74" w:rsidRPr="00CE4422" w:rsidRDefault="00460B69" w:rsidP="002D7F33">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Pr>
          <w:rFonts w:ascii="Arial" w:hAnsi="Arial" w:cs="Arial"/>
          <w:b/>
          <w:bCs/>
          <w:color w:val="C00000"/>
          <w:sz w:val="20"/>
          <w:szCs w:val="20"/>
        </w:rPr>
        <w:t>Publications</w:t>
      </w:r>
    </w:p>
    <w:p w14:paraId="28EEF823" w14:textId="72B212BB" w:rsidR="001A1433" w:rsidRDefault="001A1433" w:rsidP="002D7F33">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4857CBB" w14:textId="77777777" w:rsidR="001A1433" w:rsidRPr="003A1D74" w:rsidRDefault="001A1433" w:rsidP="002D7F33">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677D8AC" w14:textId="33A26C56" w:rsidR="00460B69"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xml:space="preserve">« Commentaire de l’article 41- Satisfaction équitable », in M. </w:t>
      </w:r>
      <w:proofErr w:type="spellStart"/>
      <w:r w:rsidRPr="000E3DFA">
        <w:rPr>
          <w:rFonts w:ascii="Arial" w:hAnsi="Arial" w:cs="Arial"/>
          <w:color w:val="3E3B38"/>
          <w:sz w:val="18"/>
          <w:szCs w:val="18"/>
        </w:rPr>
        <w:t>Boumghar</w:t>
      </w:r>
      <w:proofErr w:type="spellEnd"/>
      <w:r w:rsidRPr="000E3DFA">
        <w:rPr>
          <w:rFonts w:ascii="Arial" w:hAnsi="Arial" w:cs="Arial"/>
          <w:color w:val="3E3B38"/>
          <w:sz w:val="18"/>
          <w:szCs w:val="18"/>
        </w:rPr>
        <w:t xml:space="preserve">, Convention européenne des droits de l’homme. Commentaire article par article,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à paraître.</w:t>
      </w:r>
    </w:p>
    <w:p w14:paraId="7922EEBD" w14:textId="77777777" w:rsidR="001A1433" w:rsidRDefault="001A1433" w:rsidP="001A1433">
      <w:pPr>
        <w:pStyle w:val="Paragraphedeliste"/>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2D1B9391" w14:textId="76519A89" w:rsidR="001A1433" w:rsidRPr="001A1433" w:rsidRDefault="001A1433" w:rsidP="001A1433">
      <w:pPr>
        <w:pStyle w:val="Paragraphedeliste"/>
        <w:numPr>
          <w:ilvl w:val="0"/>
          <w:numId w:val="9"/>
        </w:numPr>
        <w:jc w:val="both"/>
        <w:rPr>
          <w:rFonts w:ascii="Arial" w:hAnsi="Arial" w:cs="Arial"/>
          <w:sz w:val="18"/>
          <w:szCs w:val="18"/>
        </w:rPr>
      </w:pPr>
      <w:r w:rsidRPr="001A1433">
        <w:rPr>
          <w:rFonts w:ascii="Arial" w:hAnsi="Arial" w:cs="Arial"/>
          <w:sz w:val="18"/>
          <w:szCs w:val="18"/>
        </w:rPr>
        <w:t xml:space="preserve">« La Constitution de Weimar et le droit international public », </w:t>
      </w:r>
      <w:r w:rsidRPr="001A1433">
        <w:rPr>
          <w:rFonts w:ascii="Arial" w:hAnsi="Arial" w:cs="Arial"/>
          <w:i/>
          <w:sz w:val="18"/>
          <w:szCs w:val="18"/>
        </w:rPr>
        <w:t>Revue française de Droit constitutionnel</w:t>
      </w:r>
      <w:r w:rsidRPr="001A1433">
        <w:rPr>
          <w:rFonts w:ascii="Arial" w:hAnsi="Arial" w:cs="Arial"/>
          <w:sz w:val="18"/>
          <w:szCs w:val="18"/>
        </w:rPr>
        <w:t>, 125, 2021, pp. 185-205.</w:t>
      </w:r>
    </w:p>
    <w:p w14:paraId="3EBFE5D2"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646C648E" w14:textId="223FA340"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Commentaire de l’Article 29 - Imprescriptibilité », in J. Fernandez et al. (</w:t>
      </w:r>
      <w:proofErr w:type="spellStart"/>
      <w:proofErr w:type="gramStart"/>
      <w:r w:rsidRPr="000E3DFA">
        <w:rPr>
          <w:rFonts w:ascii="Arial" w:hAnsi="Arial" w:cs="Arial"/>
          <w:color w:val="3E3B38"/>
          <w:sz w:val="18"/>
          <w:szCs w:val="18"/>
        </w:rPr>
        <w:t>dir</w:t>
      </w:r>
      <w:proofErr w:type="spellEnd"/>
      <w:r w:rsidRPr="000E3DFA">
        <w:rPr>
          <w:rFonts w:ascii="Arial" w:hAnsi="Arial" w:cs="Arial"/>
          <w:color w:val="3E3B38"/>
          <w:sz w:val="18"/>
          <w:szCs w:val="18"/>
        </w:rPr>
        <w:t>.</w:t>
      </w:r>
      <w:proofErr w:type="gramEnd"/>
      <w:r w:rsidRPr="000E3DFA">
        <w:rPr>
          <w:rFonts w:ascii="Arial" w:hAnsi="Arial" w:cs="Arial"/>
          <w:color w:val="3E3B38"/>
          <w:sz w:val="18"/>
          <w:szCs w:val="18"/>
        </w:rPr>
        <w:t xml:space="preserve">), Statut de Rome de la Cour pénale internationale. Commentaire article par article,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2e éd., 2019, pp. 1121-1133.</w:t>
      </w:r>
    </w:p>
    <w:p w14:paraId="2D5A88C2"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bookmarkStart w:id="0" w:name="_GoBack"/>
      <w:bookmarkEnd w:id="0"/>
    </w:p>
    <w:p w14:paraId="1C6E830C" w14:textId="250F2134"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lang w:val="en-US"/>
        </w:rPr>
      </w:pPr>
      <w:r w:rsidRPr="001A1433">
        <w:rPr>
          <w:rFonts w:ascii="Arial" w:hAnsi="Arial" w:cs="Arial"/>
          <w:color w:val="3E3B38"/>
          <w:sz w:val="18"/>
          <w:szCs w:val="18"/>
        </w:rPr>
        <w:t xml:space="preserve">« France », co-écrit avec S. El </w:t>
      </w:r>
      <w:proofErr w:type="spellStart"/>
      <w:r w:rsidRPr="001A1433">
        <w:rPr>
          <w:rFonts w:ascii="Arial" w:hAnsi="Arial" w:cs="Arial"/>
          <w:color w:val="3E3B38"/>
          <w:sz w:val="18"/>
          <w:szCs w:val="18"/>
        </w:rPr>
        <w:t>Boudouhi</w:t>
      </w:r>
      <w:proofErr w:type="spellEnd"/>
      <w:r w:rsidRPr="001A1433">
        <w:rPr>
          <w:rFonts w:ascii="Arial" w:hAnsi="Arial" w:cs="Arial"/>
          <w:color w:val="3E3B38"/>
          <w:sz w:val="18"/>
          <w:szCs w:val="18"/>
        </w:rPr>
        <w:t xml:space="preserve">, in St. </w:t>
      </w:r>
      <w:proofErr w:type="spellStart"/>
      <w:r w:rsidRPr="001A1433">
        <w:rPr>
          <w:rFonts w:ascii="Arial" w:hAnsi="Arial" w:cs="Arial"/>
          <w:color w:val="3E3B38"/>
          <w:sz w:val="18"/>
          <w:szCs w:val="18"/>
        </w:rPr>
        <w:t>Kadelbach</w:t>
      </w:r>
      <w:proofErr w:type="spellEnd"/>
      <w:r w:rsidRPr="001A1433">
        <w:rPr>
          <w:rFonts w:ascii="Arial" w:hAnsi="Arial" w:cs="Arial"/>
          <w:color w:val="3E3B38"/>
          <w:sz w:val="18"/>
          <w:szCs w:val="18"/>
        </w:rPr>
        <w:t xml:space="preserve"> et al. </w:t>
      </w:r>
      <w:r w:rsidRPr="000E3DFA">
        <w:rPr>
          <w:rFonts w:ascii="Arial" w:hAnsi="Arial" w:cs="Arial"/>
          <w:color w:val="3E3B38"/>
          <w:sz w:val="18"/>
          <w:szCs w:val="18"/>
          <w:lang w:val="en-US"/>
        </w:rPr>
        <w:t>(dir.), Judging International Human Rights. Courts of General Jurisdiction as Human Rights Courts, Springer, 2019, pp. 453-470.</w:t>
      </w:r>
    </w:p>
    <w:p w14:paraId="56A614E3"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lang w:val="en-US"/>
        </w:rPr>
      </w:pPr>
    </w:p>
    <w:p w14:paraId="4DE4B882" w14:textId="5514673A"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Quelques remarques sur la coordination conventionnelle entre organisations internationales », R.G.D.I.P., 2017, pp. 335-359.</w:t>
      </w:r>
    </w:p>
    <w:p w14:paraId="5A872DD1"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3019D03C"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xml:space="preserve">« La prise en compte d’éléments subjectifs dans le contrôle du respect des droits de l’homme : l’exemple de la jurisprudence de la Cour européenne des droits de l’homme », in Mélanges en l’honneur du Pr. Emmanuel Decaux. Réciprocité et universalité. Sources et régimes du droit international des droits de l’homme,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2017, pp. 793-810.</w:t>
      </w:r>
    </w:p>
    <w:p w14:paraId="6956495D"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40BF07DE"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L’articulation entre les procédures de plainte et de communication devant les organes de contrôle », in E. Decaux, O. de Frouville (</w:t>
      </w:r>
      <w:proofErr w:type="spellStart"/>
      <w:r w:rsidRPr="000E3DFA">
        <w:rPr>
          <w:rFonts w:ascii="Arial" w:hAnsi="Arial" w:cs="Arial"/>
          <w:color w:val="3E3B38"/>
          <w:sz w:val="18"/>
          <w:szCs w:val="18"/>
        </w:rPr>
        <w:t>dir</w:t>
      </w:r>
      <w:proofErr w:type="spellEnd"/>
      <w:r w:rsidRPr="000E3DFA">
        <w:rPr>
          <w:rFonts w:ascii="Arial" w:hAnsi="Arial" w:cs="Arial"/>
          <w:color w:val="3E3B38"/>
          <w:sz w:val="18"/>
          <w:szCs w:val="18"/>
        </w:rPr>
        <w:t xml:space="preserve">.), La dynamique du système des traités de l’ONU en matière de droits de l’homme. Chapitre 4 : La cohérence du « système » international des droits de l’homme,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2015, pp. 185-204.</w:t>
      </w:r>
    </w:p>
    <w:p w14:paraId="286758EA"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1FCAD596"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Protection internationale des droits de l’homme et responsabilité de l’État devant la Cour internationale de Justice, thèse, Université Panthéon-Assas (Paris II), 2014, 628 p.</w:t>
      </w:r>
    </w:p>
    <w:p w14:paraId="74AB62B1" w14:textId="77777777" w:rsid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40A7E88C" w14:textId="64D5AF1A"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Les immunités de l’Etat dans les pratiques allemande et française », in E. Lagrange, A. Hamann, J.-M. Sorel (</w:t>
      </w:r>
      <w:proofErr w:type="spellStart"/>
      <w:r w:rsidRPr="000E3DFA">
        <w:rPr>
          <w:rFonts w:ascii="Arial" w:hAnsi="Arial" w:cs="Arial"/>
          <w:color w:val="3E3B38"/>
          <w:sz w:val="18"/>
          <w:szCs w:val="18"/>
        </w:rPr>
        <w:t>dir</w:t>
      </w:r>
      <w:proofErr w:type="spellEnd"/>
      <w:r w:rsidRPr="000E3DFA">
        <w:rPr>
          <w:rFonts w:ascii="Arial" w:hAnsi="Arial" w:cs="Arial"/>
          <w:color w:val="3E3B38"/>
          <w:sz w:val="18"/>
          <w:szCs w:val="18"/>
        </w:rPr>
        <w:t>.), Si proche, si loin : la pratique du droit international en France et en Allemagne, Paris, Société de Législation Comparée, 2012, pp. 169-182.</w:t>
      </w:r>
    </w:p>
    <w:p w14:paraId="4C57A419" w14:textId="12B17962" w:rsidR="00460B69" w:rsidRPr="00460B69" w:rsidRDefault="00460B69" w:rsidP="000E3DFA">
      <w:pPr>
        <w:tabs>
          <w:tab w:val="left" w:pos="1134"/>
        </w:tabs>
        <w:autoSpaceDE w:val="0"/>
        <w:autoSpaceDN w:val="0"/>
        <w:adjustRightInd w:val="0"/>
        <w:snapToGrid w:val="0"/>
        <w:spacing w:line="276" w:lineRule="auto"/>
        <w:ind w:right="680" w:firstLine="45"/>
        <w:jc w:val="both"/>
        <w:textAlignment w:val="center"/>
        <w:rPr>
          <w:rFonts w:ascii="Arial" w:hAnsi="Arial" w:cs="Arial"/>
          <w:color w:val="3E3B38"/>
          <w:sz w:val="18"/>
          <w:szCs w:val="18"/>
        </w:rPr>
      </w:pPr>
    </w:p>
    <w:p w14:paraId="6840A4AE"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xml:space="preserve">« Commentaire de l’Article 29 - Imprescriptibilité », in J. Fernandez et X. </w:t>
      </w:r>
      <w:proofErr w:type="spellStart"/>
      <w:r w:rsidRPr="000E3DFA">
        <w:rPr>
          <w:rFonts w:ascii="Arial" w:hAnsi="Arial" w:cs="Arial"/>
          <w:color w:val="3E3B38"/>
          <w:sz w:val="18"/>
          <w:szCs w:val="18"/>
        </w:rPr>
        <w:t>Pacreau</w:t>
      </w:r>
      <w:proofErr w:type="spellEnd"/>
      <w:r w:rsidRPr="000E3DFA">
        <w:rPr>
          <w:rFonts w:ascii="Arial" w:hAnsi="Arial" w:cs="Arial"/>
          <w:color w:val="3E3B38"/>
          <w:sz w:val="18"/>
          <w:szCs w:val="18"/>
        </w:rPr>
        <w:t xml:space="preserve"> (</w:t>
      </w:r>
      <w:proofErr w:type="spellStart"/>
      <w:r w:rsidRPr="000E3DFA">
        <w:rPr>
          <w:rFonts w:ascii="Arial" w:hAnsi="Arial" w:cs="Arial"/>
          <w:color w:val="3E3B38"/>
          <w:sz w:val="18"/>
          <w:szCs w:val="18"/>
        </w:rPr>
        <w:t>dir</w:t>
      </w:r>
      <w:proofErr w:type="spellEnd"/>
      <w:r w:rsidRPr="000E3DFA">
        <w:rPr>
          <w:rFonts w:ascii="Arial" w:hAnsi="Arial" w:cs="Arial"/>
          <w:color w:val="3E3B38"/>
          <w:sz w:val="18"/>
          <w:szCs w:val="18"/>
        </w:rPr>
        <w:t xml:space="preserve">.), Statut de Rome de la Cour pénale internationale. Commentaire article par article,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2012, pp. 887-895.</w:t>
      </w:r>
    </w:p>
    <w:p w14:paraId="7426AE8E"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0B0372A1"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Compte rendu des rencontres de jeunes chercheurs franco-allemands. La pratique du droit international en France et en Allemagne », in E. Lagrange, A. Hamann, J.-M. Sorel (</w:t>
      </w:r>
      <w:proofErr w:type="spellStart"/>
      <w:r w:rsidRPr="000E3DFA">
        <w:rPr>
          <w:rFonts w:ascii="Arial" w:hAnsi="Arial" w:cs="Arial"/>
          <w:color w:val="3E3B38"/>
          <w:sz w:val="18"/>
          <w:szCs w:val="18"/>
        </w:rPr>
        <w:t>dir</w:t>
      </w:r>
      <w:proofErr w:type="spellEnd"/>
      <w:r w:rsidRPr="000E3DFA">
        <w:rPr>
          <w:rFonts w:ascii="Arial" w:hAnsi="Arial" w:cs="Arial"/>
          <w:color w:val="3E3B38"/>
          <w:sz w:val="18"/>
          <w:szCs w:val="18"/>
        </w:rPr>
        <w:t>.), Si proche, si loin : la pratique du droit international en France et en Allemagne, Paris, Société de Législation Comparée, 2012, pp. 449-455.</w:t>
      </w:r>
    </w:p>
    <w:p w14:paraId="5E24A61D"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3F058D0A"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xml:space="preserve">Recension de l’ouvrage : FL. FR. HÖPFNER, L’évolution de la notion de réfugié,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2014, 505 p.  (R.G.D.I.P., 2014, n° 3, pp. 760-761).</w:t>
      </w:r>
    </w:p>
    <w:p w14:paraId="53007EB1"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66A6EA6E" w14:textId="79A62402"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lastRenderedPageBreak/>
        <w:t>Recension de l’ouvrage : K. BANNELIER-CHRISTAKIS et al. (</w:t>
      </w:r>
      <w:proofErr w:type="spellStart"/>
      <w:proofErr w:type="gramStart"/>
      <w:r w:rsidRPr="000E3DFA">
        <w:rPr>
          <w:rFonts w:ascii="Arial" w:hAnsi="Arial" w:cs="Arial"/>
          <w:color w:val="3E3B38"/>
          <w:sz w:val="18"/>
          <w:szCs w:val="18"/>
        </w:rPr>
        <w:t>dir</w:t>
      </w:r>
      <w:proofErr w:type="spellEnd"/>
      <w:r w:rsidRPr="000E3DFA">
        <w:rPr>
          <w:rFonts w:ascii="Arial" w:hAnsi="Arial" w:cs="Arial"/>
          <w:color w:val="3E3B38"/>
          <w:sz w:val="18"/>
          <w:szCs w:val="18"/>
        </w:rPr>
        <w:t>.</w:t>
      </w:r>
      <w:proofErr w:type="gramEnd"/>
      <w:r w:rsidRPr="000E3DFA">
        <w:rPr>
          <w:rFonts w:ascii="Arial" w:hAnsi="Arial" w:cs="Arial"/>
          <w:color w:val="3E3B38"/>
          <w:sz w:val="18"/>
          <w:szCs w:val="18"/>
        </w:rPr>
        <w:t xml:space="preserve">), 70 ans des Nations Unies : quel rôle dans le monde actuel ? Journée d’études en l’honneur du Professeur Yves Daudet,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2014, 260 p. (R.G.D.I.P., 2015, n° 1, pp. 323-325.).</w:t>
      </w:r>
    </w:p>
    <w:p w14:paraId="2C7C7912"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3E3D6BB9" w14:textId="72552B50" w:rsidR="00460B69" w:rsidRPr="00460B69" w:rsidRDefault="00460B69" w:rsidP="000E3DFA">
      <w:pPr>
        <w:tabs>
          <w:tab w:val="left" w:pos="1134"/>
        </w:tabs>
        <w:autoSpaceDE w:val="0"/>
        <w:autoSpaceDN w:val="0"/>
        <w:adjustRightInd w:val="0"/>
        <w:snapToGrid w:val="0"/>
        <w:spacing w:line="276" w:lineRule="auto"/>
        <w:ind w:right="680" w:firstLine="45"/>
        <w:jc w:val="both"/>
        <w:textAlignment w:val="center"/>
        <w:rPr>
          <w:rFonts w:ascii="Arial" w:hAnsi="Arial" w:cs="Arial"/>
          <w:color w:val="3E3B38"/>
          <w:sz w:val="18"/>
          <w:szCs w:val="18"/>
        </w:rPr>
      </w:pPr>
    </w:p>
    <w:p w14:paraId="555A7D49"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0B8534A3" w14:textId="77777777" w:rsidR="00460B69"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0E3DFA">
        <w:rPr>
          <w:rFonts w:ascii="Arial" w:hAnsi="Arial" w:cs="Arial"/>
          <w:color w:val="3E3B38"/>
          <w:sz w:val="18"/>
          <w:szCs w:val="18"/>
        </w:rPr>
        <w:t xml:space="preserve">Recension de l’ouvrage : J.-P. SCHOUPPE, La dimension institutionnelle de la liberté de religion dans la jurisprudence de la Cour européenne des droits de l’homme, Paris, </w:t>
      </w:r>
      <w:proofErr w:type="spellStart"/>
      <w:r w:rsidRPr="000E3DFA">
        <w:rPr>
          <w:rFonts w:ascii="Arial" w:hAnsi="Arial" w:cs="Arial"/>
          <w:color w:val="3E3B38"/>
          <w:sz w:val="18"/>
          <w:szCs w:val="18"/>
        </w:rPr>
        <w:t>Pedone</w:t>
      </w:r>
      <w:proofErr w:type="spellEnd"/>
      <w:r w:rsidRPr="000E3DFA">
        <w:rPr>
          <w:rFonts w:ascii="Arial" w:hAnsi="Arial" w:cs="Arial"/>
          <w:color w:val="3E3B38"/>
          <w:sz w:val="18"/>
          <w:szCs w:val="18"/>
        </w:rPr>
        <w:t>, 2015, 498 p. (R.G.D.I.P., 2015, n° 2, pp. 494-495.)</w:t>
      </w:r>
    </w:p>
    <w:p w14:paraId="1040FFE6" w14:textId="77777777" w:rsidR="00460B69" w:rsidRPr="00460B69" w:rsidRDefault="00460B69" w:rsidP="00460B69">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p>
    <w:p w14:paraId="7BA8173F" w14:textId="55618A34" w:rsidR="000D2E7A" w:rsidRPr="000E3DFA" w:rsidRDefault="00460B69" w:rsidP="000E3DFA">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20"/>
        </w:rPr>
      </w:pPr>
      <w:r w:rsidRPr="000E3DFA">
        <w:rPr>
          <w:rFonts w:ascii="Arial" w:hAnsi="Arial" w:cs="Arial"/>
          <w:color w:val="3E3B38"/>
          <w:sz w:val="18"/>
          <w:szCs w:val="18"/>
        </w:rPr>
        <w:t>« Chronique de jurisprudence de la Cour européenne des droits de l’homme » du Journal du droit international sous la direction des Prs. Emmanuel DECAUX et Paul TAVERNIER : 2008, no 3, pp. 840-842 ; 2009, no 3, pp. 1025-1028 ; 2010, n° 3, pp. 1005-1007 et pp. 1014-1017 ; 2011, n° 3, pp. 1368-1370 ; 2012, n° 3, pp. 1032-1034.</w:t>
      </w:r>
    </w:p>
    <w:p w14:paraId="5BE6F722" w14:textId="17F0C934" w:rsidR="000D2E7A" w:rsidRPr="000D2E7A" w:rsidRDefault="000D2E7A" w:rsidP="000D2E7A">
      <w:p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20"/>
        </w:rPr>
      </w:pPr>
    </w:p>
    <w:sectPr w:rsidR="000D2E7A" w:rsidRPr="000D2E7A"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31B2" w14:textId="77777777" w:rsidR="00137E65" w:rsidRDefault="00137E65" w:rsidP="00F342F6">
      <w:r>
        <w:separator/>
      </w:r>
    </w:p>
  </w:endnote>
  <w:endnote w:type="continuationSeparator" w:id="0">
    <w:p w14:paraId="7A3A74F6" w14:textId="77777777" w:rsidR="00137E65" w:rsidRDefault="00137E65"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0FC6" w14:textId="77777777" w:rsidR="00137E65" w:rsidRDefault="00137E65" w:rsidP="00F342F6">
      <w:r>
        <w:separator/>
      </w:r>
    </w:p>
  </w:footnote>
  <w:footnote w:type="continuationSeparator" w:id="0">
    <w:p w14:paraId="1A65239A" w14:textId="77777777" w:rsidR="00137E65" w:rsidRDefault="00137E65"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 w15:restartNumberingAfterBreak="0">
    <w:nsid w:val="1B096E84"/>
    <w:multiLevelType w:val="hybridMultilevel"/>
    <w:tmpl w:val="2AE4C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C51510"/>
    <w:multiLevelType w:val="hybridMultilevel"/>
    <w:tmpl w:val="6680C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BF314E"/>
    <w:multiLevelType w:val="hybridMultilevel"/>
    <w:tmpl w:val="663EE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FD75A4"/>
    <w:multiLevelType w:val="hybridMultilevel"/>
    <w:tmpl w:val="B3181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B6005"/>
    <w:multiLevelType w:val="hybridMultilevel"/>
    <w:tmpl w:val="B47C7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8" w15:restartNumberingAfterBreak="0">
    <w:nsid w:val="6E521790"/>
    <w:multiLevelType w:val="hybridMultilevel"/>
    <w:tmpl w:val="65529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2"/>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D2E7A"/>
    <w:rsid w:val="000D3D3F"/>
    <w:rsid w:val="000E3DFA"/>
    <w:rsid w:val="000E5D31"/>
    <w:rsid w:val="000F24C4"/>
    <w:rsid w:val="00137E65"/>
    <w:rsid w:val="001A1433"/>
    <w:rsid w:val="0020609E"/>
    <w:rsid w:val="002333AF"/>
    <w:rsid w:val="002A3B7F"/>
    <w:rsid w:val="002D7F33"/>
    <w:rsid w:val="002F64FD"/>
    <w:rsid w:val="00313469"/>
    <w:rsid w:val="0032588D"/>
    <w:rsid w:val="0033033D"/>
    <w:rsid w:val="0033345C"/>
    <w:rsid w:val="003A1D74"/>
    <w:rsid w:val="00403D39"/>
    <w:rsid w:val="00422A7E"/>
    <w:rsid w:val="00425E65"/>
    <w:rsid w:val="004373F3"/>
    <w:rsid w:val="00460B69"/>
    <w:rsid w:val="0048140F"/>
    <w:rsid w:val="005259DD"/>
    <w:rsid w:val="005E076B"/>
    <w:rsid w:val="005E16F1"/>
    <w:rsid w:val="0062322B"/>
    <w:rsid w:val="00643436"/>
    <w:rsid w:val="00686F12"/>
    <w:rsid w:val="00720921"/>
    <w:rsid w:val="0073170B"/>
    <w:rsid w:val="007B5FB2"/>
    <w:rsid w:val="00812ACC"/>
    <w:rsid w:val="00832F66"/>
    <w:rsid w:val="008359B5"/>
    <w:rsid w:val="00854B87"/>
    <w:rsid w:val="00870838"/>
    <w:rsid w:val="008F6F82"/>
    <w:rsid w:val="0098770C"/>
    <w:rsid w:val="00A22947"/>
    <w:rsid w:val="00A257E7"/>
    <w:rsid w:val="00A25C27"/>
    <w:rsid w:val="00A6224B"/>
    <w:rsid w:val="00A75081"/>
    <w:rsid w:val="00A90834"/>
    <w:rsid w:val="00B111D3"/>
    <w:rsid w:val="00B61D6B"/>
    <w:rsid w:val="00B7791E"/>
    <w:rsid w:val="00B82446"/>
    <w:rsid w:val="00BE4192"/>
    <w:rsid w:val="00CE3B03"/>
    <w:rsid w:val="00CE4422"/>
    <w:rsid w:val="00CE7652"/>
    <w:rsid w:val="00CF09F4"/>
    <w:rsid w:val="00CF6BE2"/>
    <w:rsid w:val="00E26FFC"/>
    <w:rsid w:val="00E31118"/>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18FA-E509-4F1D-9445-83BCBC99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Gesa Dannenberg</cp:lastModifiedBy>
  <cp:revision>2</cp:revision>
  <cp:lastPrinted>2020-09-11T13:24:00Z</cp:lastPrinted>
  <dcterms:created xsi:type="dcterms:W3CDTF">2022-09-09T10:19:00Z</dcterms:created>
  <dcterms:modified xsi:type="dcterms:W3CDTF">2022-09-09T10:19:00Z</dcterms:modified>
</cp:coreProperties>
</file>