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AC79" w14:textId="77777777" w:rsidR="00812ACC" w:rsidRDefault="00812ACC" w:rsidP="0075566D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75566D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16A74BC4" w14:textId="486255D0" w:rsidR="003A1D74" w:rsidRPr="008359B5" w:rsidRDefault="003A1D74" w:rsidP="0075566D">
      <w:pPr>
        <w:adjustRightInd w:val="0"/>
        <w:snapToGrid w:val="0"/>
        <w:ind w:right="680"/>
        <w:jc w:val="center"/>
        <w:rPr>
          <w:rFonts w:ascii="Arial" w:hAnsi="Arial" w:cs="Arial"/>
          <w:b/>
          <w:bCs/>
          <w:color w:val="3E3B38"/>
          <w:sz w:val="36"/>
          <w:szCs w:val="36"/>
        </w:rPr>
      </w:pPr>
      <w:proofErr w:type="spellStart"/>
      <w:r w:rsidRPr="003A1D74">
        <w:rPr>
          <w:rFonts w:ascii="Arial" w:hAnsi="Arial" w:cs="Arial"/>
          <w:b/>
          <w:bCs/>
          <w:color w:val="3E3B38"/>
          <w:sz w:val="36"/>
          <w:szCs w:val="36"/>
        </w:rPr>
        <w:t>Gwénaële</w:t>
      </w:r>
      <w:proofErr w:type="spellEnd"/>
      <w:r w:rsidRPr="003A1D74">
        <w:rPr>
          <w:rFonts w:ascii="Arial" w:hAnsi="Arial" w:cs="Arial"/>
          <w:b/>
          <w:bCs/>
          <w:color w:val="3E3B38"/>
          <w:sz w:val="36"/>
          <w:szCs w:val="36"/>
        </w:rPr>
        <w:t xml:space="preserve"> CALVÈS</w:t>
      </w:r>
    </w:p>
    <w:p w14:paraId="01B45BD7" w14:textId="3AB4E6BF" w:rsidR="00FA24D4" w:rsidRPr="0062322B" w:rsidRDefault="003A1D74" w:rsidP="0075566D">
      <w:pPr>
        <w:adjustRightInd w:val="0"/>
        <w:snapToGrid w:val="0"/>
        <w:ind w:right="680"/>
        <w:jc w:val="center"/>
        <w:rPr>
          <w:rFonts w:ascii="Arial" w:hAnsi="Arial" w:cs="Arial"/>
          <w:color w:val="3E3B38"/>
          <w:sz w:val="20"/>
          <w:szCs w:val="20"/>
        </w:rPr>
      </w:pPr>
      <w:r w:rsidRPr="00CE4422">
        <w:rPr>
          <w:rFonts w:ascii="Arial" w:hAnsi="Arial" w:cs="Arial"/>
          <w:color w:val="3E3B38"/>
          <w:sz w:val="28"/>
          <w:szCs w:val="28"/>
        </w:rPr>
        <w:t>Professeur des universités en droit public</w:t>
      </w:r>
    </w:p>
    <w:p w14:paraId="6EB3632C" w14:textId="77777777" w:rsidR="003A1D74" w:rsidRPr="003A1D74" w:rsidRDefault="003A1D74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20"/>
          <w:szCs w:val="20"/>
        </w:rPr>
      </w:pPr>
    </w:p>
    <w:p w14:paraId="25D09437" w14:textId="77777777" w:rsidR="00CE4422" w:rsidRDefault="00CE4422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398E5E9E" w:rsidR="003A1D74" w:rsidRPr="00CE4422" w:rsidRDefault="003A1D74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CE4422">
        <w:rPr>
          <w:rFonts w:ascii="Arial" w:hAnsi="Arial" w:cs="Arial"/>
          <w:b/>
          <w:bCs/>
          <w:color w:val="C00000"/>
          <w:sz w:val="20"/>
          <w:szCs w:val="20"/>
        </w:rPr>
        <w:t>Derniers ouvrages parus</w:t>
      </w:r>
    </w:p>
    <w:p w14:paraId="166FF2C3" w14:textId="77777777" w:rsidR="003A1D74" w:rsidRPr="003A1D74" w:rsidRDefault="003A1D74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A5388F3" w14:textId="77777777" w:rsidR="00571D6C" w:rsidRPr="00571D6C" w:rsidRDefault="00571D6C" w:rsidP="00571D6C">
      <w:pPr>
        <w:autoSpaceDE w:val="0"/>
        <w:autoSpaceDN w:val="0"/>
        <w:adjustRightInd w:val="0"/>
        <w:snapToGrid w:val="0"/>
        <w:spacing w:line="276" w:lineRule="auto"/>
        <w:ind w:left="426"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099CBDE" w14:textId="5244FE65" w:rsidR="00571D6C" w:rsidRPr="00571D6C" w:rsidRDefault="00571D6C" w:rsidP="00571D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8" w:history="1">
        <w:r w:rsidRPr="00571D6C">
          <w:rPr>
            <w:rStyle w:val="Lienhypertexte"/>
            <w:rFonts w:ascii="Arial" w:hAnsi="Arial" w:cs="Arial"/>
            <w:sz w:val="18"/>
            <w:szCs w:val="18"/>
          </w:rPr>
          <w:t>La laïcité</w:t>
        </w:r>
      </w:hyperlink>
      <w:r w:rsidRPr="00571D6C">
        <w:rPr>
          <w:rFonts w:ascii="Arial" w:hAnsi="Arial" w:cs="Arial"/>
          <w:color w:val="3E3B38"/>
          <w:sz w:val="18"/>
          <w:szCs w:val="18"/>
        </w:rPr>
        <w:t>, La découverte, coll. Repères, 2022</w:t>
      </w:r>
    </w:p>
    <w:p w14:paraId="6C4DDD87" w14:textId="127AEB19" w:rsidR="000D3D3F" w:rsidRDefault="003A1D74" w:rsidP="007556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="426" w:right="680" w:firstLine="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>La diffamation saisie par les juges en Europe (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co-dir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., avec Laurence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Burgorgue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-Larsen),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Pedone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, Cahiers européens n°12, 2019</w:t>
      </w:r>
    </w:p>
    <w:p w14:paraId="5B801127" w14:textId="77777777" w:rsidR="000D3D3F" w:rsidRDefault="003A1D74" w:rsidP="007556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="426" w:right="680" w:firstLine="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>Territoires disputés de la laïcité. 44 questions (plus ou moins) épineuses, P.U.F., 2018</w:t>
      </w:r>
    </w:p>
    <w:p w14:paraId="57138FFC" w14:textId="4BE01E9A" w:rsidR="000D3D3F" w:rsidRDefault="003A1D74" w:rsidP="007556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="426" w:right="680" w:firstLine="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>La discrimination positive, P.U.F., coll. Que sais-je ?</w:t>
      </w:r>
      <w:r w:rsidR="000D3D3F">
        <w:rPr>
          <w:rFonts w:ascii="Arial" w:hAnsi="Arial" w:cs="Arial"/>
          <w:color w:val="3E3B38"/>
          <w:sz w:val="18"/>
          <w:szCs w:val="18"/>
        </w:rPr>
        <w:t xml:space="preserve"> </w:t>
      </w:r>
      <w:r w:rsidRPr="000D3D3F">
        <w:rPr>
          <w:rFonts w:ascii="Arial" w:hAnsi="Arial" w:cs="Arial"/>
          <w:color w:val="3E3B38"/>
          <w:sz w:val="18"/>
          <w:szCs w:val="18"/>
        </w:rPr>
        <w:t>4e éd. 2016</w:t>
      </w:r>
    </w:p>
    <w:p w14:paraId="23C71E66" w14:textId="4E7AC63A" w:rsidR="003A1D74" w:rsidRPr="000D3D3F" w:rsidRDefault="003A1D74" w:rsidP="007556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napToGrid w:val="0"/>
        <w:spacing w:line="276" w:lineRule="auto"/>
        <w:ind w:left="426" w:right="680" w:firstLine="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>Envoyer les racistes en prison ? Le procès des insulteurs de Christiane Taubira, LGDJ, 2015</w:t>
      </w:r>
    </w:p>
    <w:p w14:paraId="42E74DD3" w14:textId="71E1F7C0" w:rsidR="003A1D74" w:rsidRPr="00CE4422" w:rsidRDefault="003A1D74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20"/>
          <w:szCs w:val="20"/>
        </w:rPr>
      </w:pPr>
    </w:p>
    <w:p w14:paraId="2837734A" w14:textId="77777777" w:rsidR="00CE4422" w:rsidRDefault="00CE4422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DAC4B41" w14:textId="77777777" w:rsidR="00CE4422" w:rsidRDefault="00CE4422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127EED2" w14:textId="6C1934FB" w:rsidR="003A1D74" w:rsidRPr="00CE4422" w:rsidRDefault="003A1D74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CE4422">
        <w:rPr>
          <w:rFonts w:ascii="Arial" w:hAnsi="Arial" w:cs="Arial"/>
          <w:b/>
          <w:bCs/>
          <w:color w:val="C00000"/>
          <w:sz w:val="20"/>
          <w:szCs w:val="20"/>
        </w:rPr>
        <w:t>Articles et chapitre</w:t>
      </w:r>
      <w:r w:rsidR="00A26FAF">
        <w:rPr>
          <w:rFonts w:ascii="Arial" w:hAnsi="Arial" w:cs="Arial"/>
          <w:b/>
          <w:bCs/>
          <w:color w:val="C00000"/>
          <w:sz w:val="20"/>
          <w:szCs w:val="20"/>
        </w:rPr>
        <w:t>s</w:t>
      </w:r>
      <w:r w:rsidRPr="00CE4422">
        <w:rPr>
          <w:rFonts w:ascii="Arial" w:hAnsi="Arial" w:cs="Arial"/>
          <w:b/>
          <w:bCs/>
          <w:color w:val="C00000"/>
          <w:sz w:val="20"/>
          <w:szCs w:val="20"/>
        </w:rPr>
        <w:t xml:space="preserve"> d’ouvrage</w:t>
      </w:r>
      <w:r w:rsidR="00A26FAF">
        <w:rPr>
          <w:rFonts w:ascii="Arial" w:hAnsi="Arial" w:cs="Arial"/>
          <w:b/>
          <w:bCs/>
          <w:color w:val="C00000"/>
          <w:sz w:val="20"/>
          <w:szCs w:val="20"/>
        </w:rPr>
        <w:t>s</w:t>
      </w:r>
      <w:r w:rsidRPr="00CE4422">
        <w:rPr>
          <w:rFonts w:ascii="Arial" w:hAnsi="Arial" w:cs="Arial"/>
          <w:b/>
          <w:bCs/>
          <w:color w:val="C00000"/>
          <w:sz w:val="20"/>
          <w:szCs w:val="20"/>
        </w:rPr>
        <w:t xml:space="preserve"> (depuis 2013)</w:t>
      </w:r>
    </w:p>
    <w:p w14:paraId="5401D371" w14:textId="77777777" w:rsidR="003A1D74" w:rsidRPr="003A1D74" w:rsidRDefault="003A1D74" w:rsidP="0075566D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21B45FD6" w14:textId="77777777" w:rsidR="00DC0A7F" w:rsidRPr="00DC0A7F" w:rsidRDefault="00DC0A7F" w:rsidP="00DC0A7F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DC0A7F">
        <w:rPr>
          <w:rFonts w:ascii="Arial" w:hAnsi="Arial" w:cs="Arial"/>
          <w:sz w:val="18"/>
          <w:szCs w:val="18"/>
        </w:rPr>
        <w:t>« Femme voilée sur une affiche : la laïcité de la République n’est pas en danger », </w:t>
      </w:r>
      <w:r w:rsidRPr="00DC0A7F">
        <w:rPr>
          <w:rFonts w:ascii="Arial" w:hAnsi="Arial" w:cs="Arial"/>
          <w:i/>
          <w:iCs/>
          <w:sz w:val="18"/>
          <w:szCs w:val="18"/>
        </w:rPr>
        <w:t>AJDA, </w:t>
      </w:r>
      <w:r w:rsidRPr="00DC0A7F">
        <w:rPr>
          <w:rStyle w:val="object"/>
          <w:rFonts w:ascii="Arial" w:hAnsi="Arial" w:cs="Arial"/>
          <w:sz w:val="18"/>
          <w:szCs w:val="18"/>
        </w:rPr>
        <w:t>juillet 2022</w:t>
      </w:r>
      <w:r w:rsidRPr="00DC0A7F">
        <w:rPr>
          <w:rFonts w:ascii="Arial" w:hAnsi="Arial" w:cs="Arial"/>
          <w:sz w:val="18"/>
          <w:szCs w:val="18"/>
        </w:rPr>
        <w:t>    </w:t>
      </w:r>
    </w:p>
    <w:p w14:paraId="1FCD48E5" w14:textId="77777777" w:rsidR="00DC0A7F" w:rsidRPr="00DC0A7F" w:rsidRDefault="00DC0A7F" w:rsidP="00DC0A7F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DC0A7F">
        <w:rPr>
          <w:rFonts w:ascii="Arial" w:hAnsi="Arial" w:cs="Arial"/>
          <w:color w:val="0068DA"/>
          <w:sz w:val="18"/>
          <w:szCs w:val="18"/>
        </w:rPr>
        <w:t> </w:t>
      </w:r>
      <w:hyperlink r:id="rId9" w:tgtFrame="_blank" w:history="1">
        <w:r w:rsidRPr="00DC0A7F">
          <w:rPr>
            <w:rStyle w:val="Lienhypertexte"/>
            <w:rFonts w:ascii="Arial" w:hAnsi="Arial" w:cs="Arial"/>
            <w:sz w:val="18"/>
            <w:szCs w:val="18"/>
          </w:rPr>
          <w:t>« Service public et fait religieux : la question des accommodemen</w:t>
        </w:r>
        <w:r w:rsidRPr="00DC0A7F">
          <w:rPr>
            <w:rStyle w:val="Lienhypertexte"/>
            <w:rFonts w:ascii="Arial" w:hAnsi="Arial" w:cs="Arial"/>
            <w:sz w:val="18"/>
            <w:szCs w:val="18"/>
          </w:rPr>
          <w:t>t</w:t>
        </w:r>
        <w:r w:rsidRPr="00DC0A7F">
          <w:rPr>
            <w:rStyle w:val="Lienhypertexte"/>
            <w:rFonts w:ascii="Arial" w:hAnsi="Arial" w:cs="Arial"/>
            <w:sz w:val="18"/>
            <w:szCs w:val="18"/>
          </w:rPr>
          <w:t>s raisonnables »</w:t>
        </w:r>
      </w:hyperlink>
      <w:r w:rsidRPr="00DC0A7F">
        <w:rPr>
          <w:rFonts w:ascii="Arial" w:hAnsi="Arial" w:cs="Arial"/>
          <w:color w:val="200E0F"/>
          <w:sz w:val="18"/>
          <w:szCs w:val="18"/>
        </w:rPr>
        <w:t>, </w:t>
      </w:r>
      <w:r w:rsidRPr="00DC0A7F">
        <w:rPr>
          <w:rFonts w:ascii="Arial" w:hAnsi="Arial" w:cs="Arial"/>
          <w:i/>
          <w:iCs/>
          <w:color w:val="200E0F"/>
          <w:sz w:val="18"/>
          <w:szCs w:val="18"/>
        </w:rPr>
        <w:t>RDLF,</w:t>
      </w:r>
      <w:r w:rsidRPr="00DC0A7F">
        <w:rPr>
          <w:rFonts w:ascii="Arial" w:hAnsi="Arial" w:cs="Arial"/>
          <w:color w:val="200E0F"/>
          <w:sz w:val="18"/>
          <w:szCs w:val="18"/>
        </w:rPr>
        <w:t> </w:t>
      </w:r>
      <w:r w:rsidRPr="00DC0A7F">
        <w:rPr>
          <w:rStyle w:val="object"/>
          <w:rFonts w:ascii="Arial" w:hAnsi="Arial" w:cs="Arial"/>
          <w:color w:val="200E0F"/>
          <w:sz w:val="18"/>
          <w:szCs w:val="18"/>
        </w:rPr>
        <w:t>juin 2022</w:t>
      </w:r>
    </w:p>
    <w:p w14:paraId="369551DC" w14:textId="64294C49" w:rsidR="00DC0A7F" w:rsidRPr="00DC0A7F" w:rsidRDefault="00DC0A7F" w:rsidP="00DC0A7F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hyperlink r:id="rId10" w:tgtFrame="_blank" w:history="1">
        <w:r w:rsidRPr="00DC0A7F">
          <w:rPr>
            <w:rStyle w:val="Lienhypertexte"/>
            <w:rFonts w:ascii="Arial" w:hAnsi="Arial" w:cs="Arial"/>
            <w:sz w:val="18"/>
            <w:szCs w:val="18"/>
          </w:rPr>
          <w:t>« Burkini dans les piscines grenobloises : un déféré-laïcité à haut risque »</w:t>
        </w:r>
      </w:hyperlink>
      <w:r w:rsidRPr="00DC0A7F">
        <w:rPr>
          <w:rFonts w:ascii="Arial" w:hAnsi="Arial" w:cs="Arial"/>
          <w:sz w:val="18"/>
          <w:szCs w:val="18"/>
        </w:rPr>
        <w:t>, </w:t>
      </w:r>
      <w:r w:rsidRPr="00DC0A7F">
        <w:rPr>
          <w:rFonts w:ascii="Arial" w:hAnsi="Arial" w:cs="Arial"/>
          <w:i/>
          <w:iCs/>
          <w:sz w:val="18"/>
          <w:szCs w:val="18"/>
        </w:rPr>
        <w:t>Le Club des juristes</w:t>
      </w:r>
      <w:r w:rsidRPr="00DC0A7F">
        <w:rPr>
          <w:rFonts w:ascii="Arial" w:hAnsi="Arial" w:cs="Arial"/>
          <w:sz w:val="18"/>
          <w:szCs w:val="18"/>
        </w:rPr>
        <w:t xml:space="preserve">, </w:t>
      </w:r>
      <w:r w:rsidRPr="00DC0A7F">
        <w:rPr>
          <w:rStyle w:val="object"/>
          <w:rFonts w:ascii="Arial" w:hAnsi="Arial" w:cs="Arial"/>
          <w:sz w:val="18"/>
          <w:szCs w:val="18"/>
        </w:rPr>
        <w:t>24 mai 2022</w:t>
      </w:r>
      <w:r w:rsidRPr="00DC0A7F">
        <w:rPr>
          <w:rFonts w:ascii="Arial" w:hAnsi="Arial" w:cs="Arial"/>
          <w:sz w:val="18"/>
          <w:szCs w:val="18"/>
        </w:rPr>
        <w:t> </w:t>
      </w:r>
    </w:p>
    <w:p w14:paraId="07FCF5E6" w14:textId="77777777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1" w:history="1">
        <w:r w:rsidR="003A1D74" w:rsidRPr="003A1D74">
          <w:rPr>
            <w:rStyle w:val="Lienhypertexte"/>
            <w:rFonts w:ascii="Arial" w:hAnsi="Arial" w:cs="Arial"/>
            <w:sz w:val="18"/>
            <w:szCs w:val="18"/>
          </w:rPr>
          <w:t>« Rendre la parole au peuple ? La question du RIC »,</w:t>
        </w:r>
      </w:hyperlink>
      <w:r w:rsidR="003A1D74" w:rsidRPr="003A1D74">
        <w:rPr>
          <w:rFonts w:ascii="Arial" w:hAnsi="Arial" w:cs="Arial"/>
          <w:color w:val="3E3B38"/>
          <w:sz w:val="18"/>
          <w:szCs w:val="18"/>
        </w:rPr>
        <w:t xml:space="preserve"> </w:t>
      </w:r>
      <w:r w:rsidR="003A1D74" w:rsidRPr="00DC0A7F">
        <w:rPr>
          <w:rFonts w:ascii="Arial" w:hAnsi="Arial" w:cs="Arial"/>
          <w:i/>
          <w:iCs/>
          <w:color w:val="3E3B38"/>
          <w:sz w:val="18"/>
          <w:szCs w:val="18"/>
        </w:rPr>
        <w:t>Constructif</w:t>
      </w:r>
      <w:r w:rsidR="003A1D74" w:rsidRPr="003A1D74">
        <w:rPr>
          <w:rFonts w:ascii="Arial" w:hAnsi="Arial" w:cs="Arial"/>
          <w:color w:val="3E3B38"/>
          <w:sz w:val="18"/>
          <w:szCs w:val="18"/>
        </w:rPr>
        <w:t>, n° 61, 2022, pp. 65-68</w:t>
      </w:r>
    </w:p>
    <w:p w14:paraId="44C076F8" w14:textId="77777777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2" w:history="1"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« Le mot ‘race’ dans la législation antiraciste française »,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 </w:t>
      </w:r>
      <w:r w:rsidR="003A1D74" w:rsidRPr="00DC0A7F">
        <w:rPr>
          <w:rFonts w:ascii="Arial" w:hAnsi="Arial" w:cs="Arial"/>
          <w:i/>
          <w:iCs/>
          <w:color w:val="3E3B38"/>
          <w:sz w:val="18"/>
          <w:szCs w:val="18"/>
        </w:rPr>
        <w:t>Pouvoirs</w:t>
      </w:r>
      <w:r w:rsidR="003A1D74" w:rsidRPr="000D3D3F">
        <w:rPr>
          <w:rFonts w:ascii="Arial" w:hAnsi="Arial" w:cs="Arial"/>
          <w:color w:val="3E3B38"/>
          <w:sz w:val="18"/>
          <w:szCs w:val="18"/>
        </w:rPr>
        <w:t>, n° 181, 2022, pp. 73-84</w:t>
      </w:r>
    </w:p>
    <w:p w14:paraId="064BC4E0" w14:textId="77777777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3" w:history="1"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« La loi contre le racisme du 1er juillet 1972, un texte fondateur »,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 </w:t>
      </w:r>
      <w:r w:rsidR="003A1D74" w:rsidRPr="00DC0A7F">
        <w:rPr>
          <w:rFonts w:ascii="Arial" w:hAnsi="Arial" w:cs="Arial"/>
          <w:i/>
          <w:iCs/>
          <w:color w:val="3E3B38"/>
          <w:sz w:val="18"/>
          <w:szCs w:val="18"/>
        </w:rPr>
        <w:t>Le Droit de Vivre</w:t>
      </w:r>
      <w:r w:rsidR="003A1D74" w:rsidRPr="000D3D3F">
        <w:rPr>
          <w:rFonts w:ascii="Arial" w:hAnsi="Arial" w:cs="Arial"/>
          <w:color w:val="3E3B38"/>
          <w:sz w:val="18"/>
          <w:szCs w:val="18"/>
        </w:rPr>
        <w:t>, n° 686, 2022, pp. 52-55</w:t>
      </w:r>
    </w:p>
    <w:p w14:paraId="34EE7012" w14:textId="1DDADCF2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4" w:history="1"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« La liberté de parole des ministres du culte. Remarques sur le projet de loi ’Séparatisme’ »,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 6 avril 2021, blog de la </w:t>
      </w:r>
      <w:r w:rsidR="000D3D3F" w:rsidRPr="000D3D3F">
        <w:rPr>
          <w:rFonts w:ascii="Arial" w:hAnsi="Arial" w:cs="Arial"/>
          <w:color w:val="3E3B38"/>
          <w:sz w:val="18"/>
          <w:szCs w:val="18"/>
        </w:rPr>
        <w:t xml:space="preserve">revue jus </w:t>
      </w:r>
      <w:proofErr w:type="spellStart"/>
      <w:r w:rsidR="000D3D3F" w:rsidRPr="000D3D3F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</w:p>
    <w:p w14:paraId="77C6425C" w14:textId="77777777" w:rsidR="000D3D3F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>« La législation populaire. Sur l’initiative citoyenne aux États-</w:t>
      </w:r>
      <w:proofErr w:type="gramStart"/>
      <w:r w:rsidRPr="000D3D3F">
        <w:rPr>
          <w:rFonts w:ascii="Arial" w:hAnsi="Arial" w:cs="Arial"/>
          <w:color w:val="3E3B38"/>
          <w:sz w:val="18"/>
          <w:szCs w:val="18"/>
        </w:rPr>
        <w:t>Unis»</w:t>
      </w:r>
      <w:proofErr w:type="gramEnd"/>
      <w:r w:rsidRPr="000D3D3F">
        <w:rPr>
          <w:rFonts w:ascii="Arial" w:hAnsi="Arial" w:cs="Arial"/>
          <w:color w:val="3E3B38"/>
          <w:sz w:val="18"/>
          <w:szCs w:val="18"/>
        </w:rPr>
        <w:t xml:space="preserve">, in Tanguy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Pasquiet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-Briand (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Spicilegium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Juris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Politici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. Mélanges offerts à Philippe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Lauvaux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, éditions Panthéon-Assas, 2021, pp. 233-266.</w:t>
      </w:r>
    </w:p>
    <w:p w14:paraId="6C0C7F06" w14:textId="77777777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5" w:history="1"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 xml:space="preserve">« Des habitus laïques ? Des habitus </w:t>
        </w:r>
        <w:proofErr w:type="spellStart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antilaïques</w:t>
        </w:r>
        <w:proofErr w:type="spellEnd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 xml:space="preserve"> ? »,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 billet de blog, 20 décembre 2020</w:t>
      </w:r>
    </w:p>
    <w:p w14:paraId="0B141BFD" w14:textId="77777777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6" w:history="1">
        <w:proofErr w:type="gramStart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«Interdiction</w:t>
        </w:r>
        <w:proofErr w:type="gramEnd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 xml:space="preserve"> de discriminer et conflits internes à la liberté d’expression : actualité de la jurisprudence Hurley v. Irish-American Gay, </w:t>
        </w:r>
        <w:proofErr w:type="spellStart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Lesbian</w:t>
        </w:r>
        <w:proofErr w:type="spellEnd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 xml:space="preserve"> and </w:t>
        </w:r>
        <w:proofErr w:type="spellStart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Bisexual</w:t>
        </w:r>
        <w:proofErr w:type="spellEnd"/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 xml:space="preserve"> Group of Boston (Cour suprême des États-Unis, 1995) »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, Revue des droits et libertés fondamentaux,  </w:t>
      </w:r>
      <w:proofErr w:type="spellStart"/>
      <w:r w:rsidR="003A1D74" w:rsidRPr="000D3D3F">
        <w:rPr>
          <w:rFonts w:ascii="Arial" w:hAnsi="Arial" w:cs="Arial"/>
          <w:color w:val="3E3B38"/>
          <w:sz w:val="18"/>
          <w:szCs w:val="18"/>
        </w:rPr>
        <w:t>chron</w:t>
      </w:r>
      <w:proofErr w:type="spellEnd"/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. </w:t>
      </w:r>
      <w:proofErr w:type="gramStart"/>
      <w:r w:rsidR="003A1D74" w:rsidRPr="000D3D3F">
        <w:rPr>
          <w:rFonts w:ascii="Arial" w:hAnsi="Arial" w:cs="Arial"/>
          <w:color w:val="3E3B38"/>
          <w:sz w:val="18"/>
          <w:szCs w:val="18"/>
        </w:rPr>
        <w:t>n</w:t>
      </w:r>
      <w:proofErr w:type="gramEnd"/>
      <w:r w:rsidR="003A1D74" w:rsidRPr="000D3D3F">
        <w:rPr>
          <w:rFonts w:ascii="Arial" w:hAnsi="Arial" w:cs="Arial"/>
          <w:color w:val="3E3B38"/>
          <w:sz w:val="18"/>
          <w:szCs w:val="18"/>
        </w:rPr>
        <w:t>°78, 2020</w:t>
      </w:r>
    </w:p>
    <w:p w14:paraId="6CE54308" w14:textId="77777777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7" w:history="1">
        <w:r w:rsidR="003A1D74" w:rsidRPr="000D3D3F">
          <w:rPr>
            <w:rStyle w:val="Lienhypertexte"/>
            <w:rFonts w:ascii="Arial" w:hAnsi="Arial" w:cs="Arial"/>
            <w:sz w:val="18"/>
            <w:szCs w:val="18"/>
          </w:rPr>
          <w:t>« Vous enseignez la liberté d’expression ? N’écoutez pas François Héran ! »,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 billet de blog, 3 novembre 2020</w:t>
      </w:r>
    </w:p>
    <w:p w14:paraId="7EE17469" w14:textId="77777777" w:rsidR="000D3D3F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>« L’exigence professionnelle essentielle en droit européen de la non-discrimination. État des lieux », Droit ouvrier, juillet-août 2020, pp. 489-500.</w:t>
      </w:r>
    </w:p>
    <w:p w14:paraId="1F775A81" w14:textId="557DA4D0" w:rsidR="000D3D3F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 xml:space="preserve">« </w:t>
      </w:r>
      <w:hyperlink r:id="rId18" w:history="1">
        <w:r w:rsidRPr="0098770C">
          <w:rPr>
            <w:rStyle w:val="Lienhypertexte"/>
            <w:rFonts w:ascii="Arial" w:hAnsi="Arial" w:cs="Arial"/>
            <w:sz w:val="18"/>
            <w:szCs w:val="18"/>
          </w:rPr>
          <w:t xml:space="preserve">Le sens ordinaire du texte de la loi. L’arrêt </w:t>
        </w:r>
        <w:proofErr w:type="spellStart"/>
        <w:r w:rsidRPr="0098770C">
          <w:rPr>
            <w:rStyle w:val="Lienhypertexte"/>
            <w:rFonts w:ascii="Arial" w:hAnsi="Arial" w:cs="Arial"/>
            <w:sz w:val="18"/>
            <w:szCs w:val="18"/>
          </w:rPr>
          <w:t>Bostock</w:t>
        </w:r>
        <w:proofErr w:type="spellEnd"/>
        <w:r w:rsidRPr="0098770C">
          <w:rPr>
            <w:rStyle w:val="Lienhypertexte"/>
            <w:rFonts w:ascii="Arial" w:hAnsi="Arial" w:cs="Arial"/>
            <w:sz w:val="18"/>
            <w:szCs w:val="18"/>
          </w:rPr>
          <w:t xml:space="preserve"> v. Clayton County</w:t>
        </w:r>
      </w:hyperlink>
      <w:r w:rsidRPr="000D3D3F">
        <w:rPr>
          <w:rFonts w:ascii="Arial" w:hAnsi="Arial" w:cs="Arial"/>
          <w:color w:val="3E3B38"/>
          <w:sz w:val="18"/>
          <w:szCs w:val="18"/>
        </w:rPr>
        <w:t xml:space="preserve"> (Cour suprême des États-Unis, 15 juin 2020), 4 juillet 2020, blog de la revue jus </w:t>
      </w:r>
      <w:proofErr w:type="spellStart"/>
      <w:proofErr w:type="gramStart"/>
      <w:r w:rsidRPr="000D3D3F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:</w:t>
      </w:r>
      <w:proofErr w:type="gramEnd"/>
    </w:p>
    <w:p w14:paraId="59796EB5" w14:textId="29D8B7ED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19" w:history="1">
        <w:r w:rsidR="003A1D74" w:rsidRPr="0098770C">
          <w:rPr>
            <w:rStyle w:val="Lienhypertexte"/>
            <w:rFonts w:ascii="Arial" w:hAnsi="Arial" w:cs="Arial"/>
            <w:sz w:val="18"/>
            <w:szCs w:val="18"/>
          </w:rPr>
          <w:t>« La liberté d’expression n’est pas la liberté de dire n’importe quoi »,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 Constructif, 2020/2, n° 56, pp. 54-57</w:t>
      </w:r>
    </w:p>
    <w:p w14:paraId="2BC7CC6C" w14:textId="74BAAC3B" w:rsidR="000D3D3F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 xml:space="preserve">« L’introuvable ‘définition européenne’ de la discrimination indirecte. L’exemple du sexe et de l’orientation </w:t>
      </w:r>
      <w:r w:rsidR="0098770C" w:rsidRPr="000D3D3F">
        <w:rPr>
          <w:rFonts w:ascii="Arial" w:hAnsi="Arial" w:cs="Arial"/>
          <w:color w:val="3E3B38"/>
          <w:sz w:val="18"/>
          <w:szCs w:val="18"/>
        </w:rPr>
        <w:t>sexuelle »</w:t>
      </w:r>
      <w:r w:rsidRPr="000D3D3F">
        <w:rPr>
          <w:rFonts w:ascii="Arial" w:hAnsi="Arial" w:cs="Arial"/>
          <w:color w:val="3E3B38"/>
          <w:sz w:val="18"/>
          <w:szCs w:val="18"/>
        </w:rPr>
        <w:t xml:space="preserve">, in Daniel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Borillo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 et Félicien Lemaire (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.), Les discriminations fondées sur le sexe, l’orientation sexuelle et l’identité de genre,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L’Harmattan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, 2020, pp. 95-114.</w:t>
      </w:r>
    </w:p>
    <w:p w14:paraId="692ACB7F" w14:textId="03E117AD" w:rsidR="000D3D3F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20" w:history="1">
        <w:r w:rsidR="003A1D74" w:rsidRPr="00B82446">
          <w:rPr>
            <w:rStyle w:val="Lienhypertexte"/>
            <w:rFonts w:ascii="Arial" w:hAnsi="Arial" w:cs="Arial"/>
            <w:sz w:val="18"/>
            <w:szCs w:val="18"/>
          </w:rPr>
          <w:t>« La Cour suprême des Etats-Unis et le démantèlement de l'affirmative action »,</w:t>
        </w:r>
      </w:hyperlink>
      <w:r w:rsidR="003A1D74" w:rsidRPr="000D3D3F">
        <w:rPr>
          <w:rFonts w:ascii="Arial" w:hAnsi="Arial" w:cs="Arial"/>
          <w:color w:val="3E3B38"/>
          <w:sz w:val="18"/>
          <w:szCs w:val="18"/>
        </w:rPr>
        <w:t xml:space="preserve"> Titre VII-Les Cahiers du Conseil constitutionnel, n°4, avril 2020, en ligne sur le site du Conseil constitutionnel</w:t>
      </w:r>
    </w:p>
    <w:p w14:paraId="5C31A613" w14:textId="77777777" w:rsidR="000D3D3F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 xml:space="preserve">« La diffamation saisie par la Cour suprême des États-Unis. Une théorie politique de la liberté d'expression », in Laurence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Burgorgue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-Larsen et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Gwénaële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Calvès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co-dir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 xml:space="preserve">), La diffamation saisie par les juges en Europe,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Pedone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, Cahiers européens n°12, 2019, pp. 35-51</w:t>
      </w:r>
    </w:p>
    <w:p w14:paraId="56E7020C" w14:textId="4A82878D" w:rsidR="000D3D3F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 xml:space="preserve">Réponse au questionnaire de La Vie des Idées, </w:t>
      </w:r>
      <w:hyperlink r:id="rId21" w:history="1">
        <w:r w:rsidRPr="00F83E6B">
          <w:rPr>
            <w:rStyle w:val="Lienhypertexte"/>
            <w:rFonts w:ascii="Arial" w:hAnsi="Arial" w:cs="Arial"/>
            <w:sz w:val="18"/>
            <w:szCs w:val="18"/>
          </w:rPr>
          <w:t>« Polémiques et controverses autour de la question raciale »,</w:t>
        </w:r>
      </w:hyperlink>
      <w:r w:rsidRPr="000D3D3F">
        <w:rPr>
          <w:rFonts w:ascii="Arial" w:hAnsi="Arial" w:cs="Arial"/>
          <w:color w:val="3E3B38"/>
          <w:sz w:val="18"/>
          <w:szCs w:val="18"/>
        </w:rPr>
        <w:t xml:space="preserve"> 11, 14 et 18 juin 2019</w:t>
      </w:r>
    </w:p>
    <w:p w14:paraId="0BAC06F1" w14:textId="77777777" w:rsidR="000D3D3F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lastRenderedPageBreak/>
        <w:t xml:space="preserve">Commentaire de CE, </w:t>
      </w:r>
      <w:proofErr w:type="spellStart"/>
      <w:r w:rsidRPr="000D3D3F">
        <w:rPr>
          <w:rFonts w:ascii="Arial" w:hAnsi="Arial" w:cs="Arial"/>
          <w:color w:val="3E3B38"/>
          <w:sz w:val="18"/>
          <w:szCs w:val="18"/>
        </w:rPr>
        <w:t>Ass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. 9 novembre 2016, n° 395122 et 395223 (crèches de Noël exposées par des personnes publiques), in Th. Perroud et al. (</w:t>
      </w:r>
      <w:proofErr w:type="spellStart"/>
      <w:proofErr w:type="gramStart"/>
      <w:r w:rsidRPr="000D3D3F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0D3D3F">
        <w:rPr>
          <w:rFonts w:ascii="Arial" w:hAnsi="Arial" w:cs="Arial"/>
          <w:color w:val="3E3B38"/>
          <w:sz w:val="18"/>
          <w:szCs w:val="18"/>
        </w:rPr>
        <w:t>.</w:t>
      </w:r>
      <w:proofErr w:type="gramEnd"/>
      <w:r w:rsidRPr="000D3D3F">
        <w:rPr>
          <w:rFonts w:ascii="Arial" w:hAnsi="Arial" w:cs="Arial"/>
          <w:color w:val="3E3B38"/>
          <w:sz w:val="18"/>
          <w:szCs w:val="18"/>
        </w:rPr>
        <w:t>), Les grands arrêts politiques de la jurisprudence administrative, LGDJ, 2019, pp. 544-561.</w:t>
      </w:r>
    </w:p>
    <w:p w14:paraId="51B5C66D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0D3D3F">
        <w:rPr>
          <w:rFonts w:ascii="Arial" w:hAnsi="Arial" w:cs="Arial"/>
          <w:color w:val="3E3B38"/>
          <w:sz w:val="18"/>
          <w:szCs w:val="18"/>
        </w:rPr>
        <w:t>« Jour férié réservé aux membres d’un culte minoritaire : un refus clair et net de la CJUE », Semaine sociale Lamy, n°1852, 11 mars 2019, pp. 5-8.</w:t>
      </w:r>
    </w:p>
    <w:p w14:paraId="69521574" w14:textId="356A89ED" w:rsidR="00BE4192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22" w:history="1">
        <w:r w:rsidR="003A1D74" w:rsidRPr="00B7791E">
          <w:rPr>
            <w:rStyle w:val="Lienhypertexte"/>
            <w:rFonts w:ascii="Arial" w:hAnsi="Arial" w:cs="Arial"/>
            <w:sz w:val="18"/>
            <w:szCs w:val="18"/>
          </w:rPr>
          <w:t>« L’inflation législative des motifs illicites de discrimination. Essai d’analyse fonctionnelle »,</w:t>
        </w:r>
      </w:hyperlink>
      <w:r w:rsidR="003A1D74" w:rsidRPr="00BE4192">
        <w:rPr>
          <w:rFonts w:ascii="Arial" w:hAnsi="Arial" w:cs="Arial"/>
          <w:color w:val="3E3B38"/>
          <w:sz w:val="18"/>
          <w:szCs w:val="18"/>
        </w:rPr>
        <w:t xml:space="preserve"> in Mission de recherche Droit et Justice et Défenseur des droits, La multiplication des critères de discrimination, 2018</w:t>
      </w:r>
    </w:p>
    <w:p w14:paraId="7B610A95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Laïcité (charte régionale des valeurs de la République) : illégalité partielle », Rec. Dalloz, 2018, p. 2309.</w:t>
      </w:r>
    </w:p>
    <w:p w14:paraId="186E839F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Discrimination et inégalités socio-économiques », in Patrick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Savidan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Dictionnaire des inégalités et de la justice sociale, PUF, 2018, pp. 329-337.</w:t>
      </w:r>
    </w:p>
    <w:p w14:paraId="6B384E74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Louis D.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Brandeis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, le pragmatisme juridique à l’œuvre », in Wanda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Mastor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.), Penser le droit à partir de l’individu. Mélanges en l’honneur d’Elisabeth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Zoller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, Dalloz, 2018, pp.292-311.</w:t>
      </w:r>
    </w:p>
    <w:p w14:paraId="0F46A223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Sur un prétendu droit au respect des croyances religieuses », in Amandine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Barb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et Denis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Lacorne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Les politiques du blasphème : une perspective comparée, éd. Karthala, 2018, pp. 77-93.</w:t>
      </w:r>
    </w:p>
    <w:p w14:paraId="3C1C3EDE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Salariés laïcs des Églises : la CJUE impose un contrôle de proportionnalité », Semaine sociale Lamy, n°1828, 17 septembre 2018, pp. 7-11.</w:t>
      </w:r>
    </w:p>
    <w:p w14:paraId="171B3E2F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Le critère ‘ religion ou convictions’, même sens et même portée à Luxembourg et à Strasbourg ? », Droit social, avril 2018, pp. 323-329.</w:t>
      </w:r>
    </w:p>
    <w:p w14:paraId="50BE40E0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Racisme et antisémitisme : ce que dit le droit », in Michel Wieviorka,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Antiracistes, Robert Laffont, 2017, pp. 311-318.</w:t>
      </w:r>
    </w:p>
    <w:p w14:paraId="49BD4D09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Religion au travail : que nous enseigne la CJUE ? </w:t>
      </w:r>
      <w:proofErr w:type="gramStart"/>
      <w:r w:rsidRPr="00BE4192">
        <w:rPr>
          <w:rFonts w:ascii="Arial" w:hAnsi="Arial" w:cs="Arial"/>
          <w:color w:val="3E3B38"/>
          <w:sz w:val="18"/>
          <w:szCs w:val="18"/>
        </w:rPr>
        <w:t>»,  Feuillet</w:t>
      </w:r>
      <w:proofErr w:type="gramEnd"/>
      <w:r w:rsidRPr="00BE4192">
        <w:rPr>
          <w:rFonts w:ascii="Arial" w:hAnsi="Arial" w:cs="Arial"/>
          <w:color w:val="3E3B38"/>
          <w:sz w:val="18"/>
          <w:szCs w:val="18"/>
        </w:rPr>
        <w:t xml:space="preserve"> rapide social, n°8, 31 mars 2017, pp. 20-23.</w:t>
      </w:r>
    </w:p>
    <w:p w14:paraId="399FC8F2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Politiques de neutralité au sein des entreprises privées : un feu vert de la CJUE ? », Semaine sociale Lamy, n°1762, 27 mars 2017, pp. 3-7.</w:t>
      </w:r>
    </w:p>
    <w:p w14:paraId="576FFB73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Le droit de la non-discrimination, un droit pour rire », Recueil Dalloz, 2017, p. 653.</w:t>
      </w:r>
    </w:p>
    <w:p w14:paraId="5FA35720" w14:textId="081F7D87" w:rsidR="00BE4192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23" w:history="1">
        <w:r w:rsidR="003A1D74" w:rsidRPr="005E16F1">
          <w:rPr>
            <w:rStyle w:val="Lienhypertexte"/>
            <w:rFonts w:ascii="Arial" w:hAnsi="Arial" w:cs="Arial"/>
            <w:sz w:val="18"/>
            <w:szCs w:val="18"/>
          </w:rPr>
          <w:t>« La manifestation, cœur battant de la démocratie</w:t>
        </w:r>
      </w:hyperlink>
      <w:r w:rsidR="003A1D74" w:rsidRPr="00BE4192">
        <w:rPr>
          <w:rFonts w:ascii="Arial" w:hAnsi="Arial" w:cs="Arial"/>
          <w:color w:val="3E3B38"/>
          <w:sz w:val="18"/>
          <w:szCs w:val="18"/>
        </w:rPr>
        <w:t xml:space="preserve"> », jus </w:t>
      </w:r>
      <w:proofErr w:type="spellStart"/>
      <w:r w:rsidR="003A1D74" w:rsidRPr="00BE4192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="003A1D74" w:rsidRPr="00BE4192">
        <w:rPr>
          <w:rFonts w:ascii="Arial" w:hAnsi="Arial" w:cs="Arial"/>
          <w:color w:val="3E3B38"/>
          <w:sz w:val="18"/>
          <w:szCs w:val="18"/>
        </w:rPr>
        <w:t>, version électronique, n°17, janvier 2017</w:t>
      </w:r>
    </w:p>
    <w:p w14:paraId="678D4E22" w14:textId="13A2F37E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Le jury criminel dans la tradition politique américaine », in D. Salas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La cour d’assises. Actualité d’un héritage démocratique, La Documentation française, coll. Regard d’expert, 2016, pp. 133-147</w:t>
      </w:r>
    </w:p>
    <w:p w14:paraId="041FB3B4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On ne fait pas une bonne loi avec de bons sentiments », in « Controverse : la discrimination à raison de la précarité sociale : progrès ou confusion ? », Revue de droit du travail, 2016, pp. 536-528.</w:t>
      </w:r>
    </w:p>
    <w:p w14:paraId="6B985C16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Critères illicites de discrimination : poussée de fièvre à l’Assemblée nationale », Recueil Dalloz, 2016, p. 1500.</w:t>
      </w:r>
    </w:p>
    <w:p w14:paraId="271A2E0C" w14:textId="56ED3AAA" w:rsidR="00BE4192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24" w:history="1">
        <w:r w:rsidR="003A1D74" w:rsidRPr="000A7E8F">
          <w:rPr>
            <w:rStyle w:val="Lienhypertexte"/>
            <w:rFonts w:ascii="Arial" w:hAnsi="Arial" w:cs="Arial"/>
            <w:sz w:val="18"/>
            <w:szCs w:val="18"/>
          </w:rPr>
          <w:t>« La lutte contre les discriminations se rabougrit et se balkanise »,</w:t>
        </w:r>
      </w:hyperlink>
      <w:r w:rsidR="003A1D74" w:rsidRPr="00BE4192">
        <w:rPr>
          <w:rFonts w:ascii="Arial" w:hAnsi="Arial" w:cs="Arial"/>
          <w:color w:val="3E3B38"/>
          <w:sz w:val="18"/>
          <w:szCs w:val="18"/>
        </w:rPr>
        <w:t xml:space="preserve"> Diversité, n°184, 2e trimestre 2016, pp. 17-19.</w:t>
      </w:r>
    </w:p>
    <w:p w14:paraId="5EB6970B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Obligation de neutralité confessionnelle des agents publics : la Cour européenne des droits de l’homme donne quitus à la France (CEDH 26 novembre 2015,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Ebrahimian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c. France) », Revue de jurisprudence sociale, 2016, pp. 205-206.</w:t>
      </w:r>
    </w:p>
    <w:p w14:paraId="73D46CCE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proofErr w:type="gramStart"/>
      <w:r w:rsidRPr="00BE4192">
        <w:rPr>
          <w:rFonts w:ascii="Arial" w:hAnsi="Arial" w:cs="Arial"/>
          <w:color w:val="3E3B38"/>
          <w:sz w:val="18"/>
          <w:szCs w:val="18"/>
        </w:rPr>
        <w:t>«Washington</w:t>
      </w:r>
      <w:proofErr w:type="gramEnd"/>
      <w:r w:rsidRPr="00BE4192">
        <w:rPr>
          <w:rFonts w:ascii="Arial" w:hAnsi="Arial" w:cs="Arial"/>
          <w:color w:val="3E3B38"/>
          <w:sz w:val="18"/>
          <w:szCs w:val="18"/>
        </w:rPr>
        <w:t xml:space="preserve">, D.C. : Taxation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without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Representation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», in F.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Lafaille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, L. Janicot et O.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Renaudie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Les villes capitales, miroir de l’État ?, Lextenso, 2015, pp. 81-95.</w:t>
      </w:r>
    </w:p>
    <w:p w14:paraId="2F841484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Les discours de haine et les normes internationales », Esprit, n° 418, oct. 2015, pp. 56-66.</w:t>
      </w:r>
    </w:p>
    <w:p w14:paraId="75E0E99D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Compte rendu de S.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Hennette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-Vauchez et </w:t>
      </w:r>
      <w:proofErr w:type="spellStart"/>
      <w:proofErr w:type="gramStart"/>
      <w:r w:rsidRPr="00BE4192">
        <w:rPr>
          <w:rFonts w:ascii="Arial" w:hAnsi="Arial" w:cs="Arial"/>
          <w:color w:val="3E3B38"/>
          <w:sz w:val="18"/>
          <w:szCs w:val="18"/>
        </w:rPr>
        <w:t>V.Valentin</w:t>
      </w:r>
      <w:proofErr w:type="spellEnd"/>
      <w:proofErr w:type="gramEnd"/>
      <w:r w:rsidRPr="00BE4192">
        <w:rPr>
          <w:rFonts w:ascii="Arial" w:hAnsi="Arial" w:cs="Arial"/>
          <w:color w:val="3E3B38"/>
          <w:sz w:val="18"/>
          <w:szCs w:val="18"/>
        </w:rPr>
        <w:t>, L’affaire Baby Loup ou la Nouvelle Laïcité, LGDJ, 2014, Revue française de science politique, vol. 65, n°2, 2015, pp. 334-335.</w:t>
      </w:r>
    </w:p>
    <w:p w14:paraId="2154C340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Minorités (droit des) », in P.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Mbongo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, F.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Hervouët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et C.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Santulli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Dictionnaire encyclopédique de l’État, Berger-Levrault, 2014, pp. 662-666.</w:t>
      </w:r>
    </w:p>
    <w:p w14:paraId="6614F087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Principe des nationalités », in P.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Mbongo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, F.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Hervouët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et C.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Santulli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Dictionnaire encyclopédique de l’État, Berger-Levrault, 2014, pp. 630-635.</w:t>
      </w:r>
    </w:p>
    <w:p w14:paraId="79347DE2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Apatridie », in P.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Mbongo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, F.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Hervouët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et C.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Santulli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.), Dictionnaire encyclopédique de l’État, Berger-Levrault, 2014, pp. 58-60.</w:t>
      </w:r>
    </w:p>
    <w:p w14:paraId="69A50938" w14:textId="583C73AE" w:rsidR="00BE4192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25" w:history="1">
        <w:r w:rsidR="003A1D74" w:rsidRPr="00643436">
          <w:rPr>
            <w:rStyle w:val="Lienhypertexte"/>
            <w:rFonts w:ascii="Arial" w:hAnsi="Arial" w:cs="Arial"/>
            <w:sz w:val="18"/>
            <w:szCs w:val="18"/>
          </w:rPr>
          <w:t xml:space="preserve">« Entretien croisé avec Emmanuel </w:t>
        </w:r>
        <w:proofErr w:type="spellStart"/>
        <w:r w:rsidR="003A1D74" w:rsidRPr="00643436">
          <w:rPr>
            <w:rStyle w:val="Lienhypertexte"/>
            <w:rFonts w:ascii="Arial" w:hAnsi="Arial" w:cs="Arial"/>
            <w:sz w:val="18"/>
            <w:szCs w:val="18"/>
          </w:rPr>
          <w:t>Dockès</w:t>
        </w:r>
        <w:proofErr w:type="spellEnd"/>
        <w:r w:rsidR="003A1D74" w:rsidRPr="00643436">
          <w:rPr>
            <w:rStyle w:val="Lienhypertexte"/>
            <w:rFonts w:ascii="Arial" w:hAnsi="Arial" w:cs="Arial"/>
            <w:sz w:val="18"/>
            <w:szCs w:val="18"/>
          </w:rPr>
          <w:t xml:space="preserve"> sur le retentissant arrêt Baby Loup »,</w:t>
        </w:r>
      </w:hyperlink>
      <w:r w:rsidR="003A1D74" w:rsidRPr="00BE4192">
        <w:rPr>
          <w:rFonts w:ascii="Arial" w:hAnsi="Arial" w:cs="Arial"/>
          <w:color w:val="3E3B38"/>
          <w:sz w:val="18"/>
          <w:szCs w:val="18"/>
        </w:rPr>
        <w:t xml:space="preserve"> La Revue des droits de l’homme [en ligne], Actualités Droits-Libertés, 1er juillet 2014.</w:t>
      </w:r>
    </w:p>
    <w:p w14:paraId="67AA0DA5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Devoir de réserve imposé aux salariés de la crèche Baby Loup : quelle lecture européenne du problème ? », Revue de droit du travail, 2014, pp. 94-100.</w:t>
      </w:r>
    </w:p>
    <w:p w14:paraId="50842ACF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lastRenderedPageBreak/>
        <w:t xml:space="preserve">« Réflexions sur l’action collective : le contentieux des discriminations et du harcèlement dans la fonction publique », in L.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Pécaut-Rivolier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>, Lutter contre les discriminations au travail : un défi collectif, La Documentation française, 2013.</w:t>
      </w:r>
    </w:p>
    <w:p w14:paraId="02640571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La discrimination, une expérience impossible » (lecture critique de F. Dubet et al., Pourquoi ? L’expérience des discriminations, Seuil, 2013), Revue française de science politique, vol. 63(6), 2013, pp. 1208-1211.</w:t>
      </w:r>
    </w:p>
    <w:p w14:paraId="62FD6BCA" w14:textId="77777777" w:rsidR="00BE4192" w:rsidRDefault="003A1D74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 xml:space="preserve">« Le Conseil constitutionnel et les quotas par sexe : la fuite en avant » in X. 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Bioy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BE4192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BE4192">
        <w:rPr>
          <w:rFonts w:ascii="Arial" w:hAnsi="Arial" w:cs="Arial"/>
          <w:color w:val="3E3B38"/>
          <w:sz w:val="18"/>
          <w:szCs w:val="18"/>
        </w:rPr>
        <w:t xml:space="preserve">.), La parité, nouvelle dynamique pour la </w:t>
      </w:r>
      <w:proofErr w:type="gramStart"/>
      <w:r w:rsidRPr="00BE4192">
        <w:rPr>
          <w:rFonts w:ascii="Arial" w:hAnsi="Arial" w:cs="Arial"/>
          <w:color w:val="3E3B38"/>
          <w:sz w:val="18"/>
          <w:szCs w:val="18"/>
        </w:rPr>
        <w:t>démocratie ?,</w:t>
      </w:r>
      <w:proofErr w:type="gramEnd"/>
      <w:r w:rsidRPr="00BE4192">
        <w:rPr>
          <w:rFonts w:ascii="Arial" w:hAnsi="Arial" w:cs="Arial"/>
          <w:color w:val="3E3B38"/>
          <w:sz w:val="18"/>
          <w:szCs w:val="18"/>
        </w:rPr>
        <w:t xml:space="preserve"> LGDJ-Presses de Toulouse, 2013, pp. 44-57.</w:t>
      </w:r>
    </w:p>
    <w:p w14:paraId="448D928B" w14:textId="2C56BA30" w:rsidR="00BE4192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26" w:history="1">
        <w:r w:rsidR="003A1D74" w:rsidRPr="004373F3">
          <w:rPr>
            <w:rStyle w:val="Lienhypertexte"/>
            <w:rFonts w:ascii="Arial" w:hAnsi="Arial" w:cs="Arial"/>
            <w:sz w:val="18"/>
            <w:szCs w:val="18"/>
          </w:rPr>
          <w:t>« La chambre sociale de la Cour de Cassation face à l’affaire Baby Loup : trois leçons de droit, et un silence assourdissant »,</w:t>
        </w:r>
      </w:hyperlink>
      <w:r w:rsidR="003A1D74" w:rsidRPr="00BE4192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="003A1D74" w:rsidRPr="00BE4192">
        <w:rPr>
          <w:rFonts w:ascii="Arial" w:hAnsi="Arial" w:cs="Arial"/>
          <w:color w:val="3E3B38"/>
          <w:sz w:val="18"/>
          <w:szCs w:val="18"/>
        </w:rPr>
        <w:t>Respublica</w:t>
      </w:r>
      <w:proofErr w:type="spellEnd"/>
      <w:r w:rsidR="003A1D74" w:rsidRPr="00BE4192">
        <w:rPr>
          <w:rFonts w:ascii="Arial" w:hAnsi="Arial" w:cs="Arial"/>
          <w:color w:val="3E3B38"/>
          <w:sz w:val="18"/>
          <w:szCs w:val="18"/>
        </w:rPr>
        <w:t>, 21 mars 2013.</w:t>
      </w:r>
    </w:p>
    <w:p w14:paraId="724B6CE5" w14:textId="2FA894AF" w:rsidR="00BE4192" w:rsidRDefault="00000000" w:rsidP="0075566D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hyperlink r:id="rId27" w:history="1">
        <w:r w:rsidR="00686F12" w:rsidRPr="00B61D6B">
          <w:rPr>
            <w:rStyle w:val="Lienhypertexte"/>
            <w:rFonts w:ascii="Arial" w:hAnsi="Arial" w:cs="Arial"/>
            <w:sz w:val="18"/>
            <w:szCs w:val="18"/>
          </w:rPr>
          <w:t>D</w:t>
        </w:r>
        <w:r w:rsidR="003A1D74" w:rsidRPr="00B61D6B">
          <w:rPr>
            <w:rStyle w:val="Lienhypertexte"/>
            <w:rFonts w:ascii="Arial" w:hAnsi="Arial" w:cs="Arial"/>
            <w:sz w:val="18"/>
            <w:szCs w:val="18"/>
          </w:rPr>
          <w:t xml:space="preserve">écision du Conseil Constitutionnel sur la laïcité : entretien avec </w:t>
        </w:r>
        <w:proofErr w:type="spellStart"/>
        <w:r w:rsidR="003A1D74" w:rsidRPr="00B61D6B">
          <w:rPr>
            <w:rStyle w:val="Lienhypertexte"/>
            <w:rFonts w:ascii="Arial" w:hAnsi="Arial" w:cs="Arial"/>
            <w:sz w:val="18"/>
            <w:szCs w:val="18"/>
          </w:rPr>
          <w:t>Gwénaële</w:t>
        </w:r>
        <w:proofErr w:type="spellEnd"/>
        <w:r w:rsidR="003A1D74" w:rsidRPr="00B61D6B">
          <w:rPr>
            <w:rStyle w:val="Lienhypertexte"/>
            <w:rFonts w:ascii="Arial" w:hAnsi="Arial" w:cs="Arial"/>
            <w:sz w:val="18"/>
            <w:szCs w:val="18"/>
          </w:rPr>
          <w:t xml:space="preserve"> </w:t>
        </w:r>
        <w:proofErr w:type="spellStart"/>
        <w:r w:rsidR="003A1D74" w:rsidRPr="00B61D6B">
          <w:rPr>
            <w:rStyle w:val="Lienhypertexte"/>
            <w:rFonts w:ascii="Arial" w:hAnsi="Arial" w:cs="Arial"/>
            <w:sz w:val="18"/>
            <w:szCs w:val="18"/>
          </w:rPr>
          <w:t>Calvès</w:t>
        </w:r>
        <w:proofErr w:type="spellEnd"/>
      </w:hyperlink>
      <w:r w:rsidR="003A1D74" w:rsidRPr="00BE4192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="003A1D74" w:rsidRPr="00BE4192">
        <w:rPr>
          <w:rFonts w:ascii="Arial" w:hAnsi="Arial" w:cs="Arial"/>
          <w:color w:val="3E3B38"/>
          <w:sz w:val="18"/>
          <w:szCs w:val="18"/>
        </w:rPr>
        <w:t>Respublica</w:t>
      </w:r>
      <w:proofErr w:type="spellEnd"/>
      <w:r w:rsidR="003A1D74" w:rsidRPr="00BE4192">
        <w:rPr>
          <w:rFonts w:ascii="Arial" w:hAnsi="Arial" w:cs="Arial"/>
          <w:color w:val="3E3B38"/>
          <w:sz w:val="18"/>
          <w:szCs w:val="18"/>
        </w:rPr>
        <w:t>, 28 février 2013.</w:t>
      </w:r>
    </w:p>
    <w:p w14:paraId="1D052584" w14:textId="77777777" w:rsidR="00A26FAF" w:rsidRDefault="003A1D74" w:rsidP="00A26FAF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09" w:right="680" w:hanging="283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E4192">
        <w:rPr>
          <w:rFonts w:ascii="Arial" w:hAnsi="Arial" w:cs="Arial"/>
          <w:color w:val="3E3B38"/>
          <w:sz w:val="18"/>
          <w:szCs w:val="18"/>
        </w:rPr>
        <w:t>« Le ‘dernier mot’ était l’avant-dernier… Brèves remarques sur une révision constitutionnelle à double détente », Contribution aux Mélanges en l’honneur du Professeur Jacques Chevallier, LGDJ, 2013, pp. 277-287.</w:t>
      </w:r>
    </w:p>
    <w:p w14:paraId="4FE2C6A4" w14:textId="77777777" w:rsidR="00A26FAF" w:rsidRDefault="00A26FAF" w:rsidP="00C76015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 w:hanging="283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A26FAF">
        <w:rPr>
          <w:rFonts w:ascii="Arial" w:hAnsi="Arial" w:cs="Arial"/>
          <w:color w:val="3E3B38"/>
          <w:sz w:val="18"/>
          <w:szCs w:val="20"/>
        </w:rPr>
        <w:t xml:space="preserve">« Femme voilée sur une affiche : la laïcité de la République n’est pas en danger », AJDA, juillet 2022    </w:t>
      </w:r>
    </w:p>
    <w:p w14:paraId="4F588BDB" w14:textId="504A5936" w:rsidR="00A26FAF" w:rsidRDefault="00A26FAF" w:rsidP="00CC3A67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 w:hanging="283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r w:rsidRPr="00A26FAF">
        <w:rPr>
          <w:rFonts w:ascii="Arial" w:hAnsi="Arial" w:cs="Arial"/>
          <w:color w:val="3E3B38"/>
          <w:sz w:val="18"/>
          <w:szCs w:val="20"/>
        </w:rPr>
        <w:t xml:space="preserve"> </w:t>
      </w:r>
      <w:hyperlink r:id="rId28" w:history="1">
        <w:r w:rsidRPr="00A26FAF">
          <w:rPr>
            <w:rStyle w:val="Lienhypertexte"/>
            <w:rFonts w:ascii="Arial" w:hAnsi="Arial" w:cs="Arial"/>
            <w:sz w:val="18"/>
            <w:szCs w:val="20"/>
          </w:rPr>
          <w:t>« Service public et fait religieux : la question des accommodements raisonnables », RDLF, juin 2022</w:t>
        </w:r>
      </w:hyperlink>
    </w:p>
    <w:p w14:paraId="6847FD53" w14:textId="6C55F013" w:rsidR="00FA24D4" w:rsidRPr="00A26FAF" w:rsidRDefault="00000000" w:rsidP="00CC3A67">
      <w:pPr>
        <w:pStyle w:val="Paragraphedeliste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 w:hanging="283"/>
        <w:jc w:val="both"/>
        <w:textAlignment w:val="center"/>
        <w:rPr>
          <w:rFonts w:ascii="Arial" w:hAnsi="Arial" w:cs="Arial"/>
          <w:color w:val="3E3B38"/>
          <w:sz w:val="18"/>
          <w:szCs w:val="20"/>
        </w:rPr>
      </w:pPr>
      <w:hyperlink r:id="rId29" w:history="1">
        <w:r w:rsidR="00A26FAF" w:rsidRPr="00A26FAF">
          <w:rPr>
            <w:rStyle w:val="Lienhypertexte"/>
            <w:rFonts w:ascii="Arial" w:hAnsi="Arial" w:cs="Arial"/>
            <w:sz w:val="18"/>
            <w:szCs w:val="20"/>
          </w:rPr>
          <w:t>« Burkini dans les piscines grenobloises : un déféré-laïcité à haut risque », Le Club des juristes, 24 mai 2022</w:t>
        </w:r>
      </w:hyperlink>
    </w:p>
    <w:sectPr w:rsidR="00FA24D4" w:rsidRPr="00A26FAF" w:rsidSect="00425E65"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BAF5" w14:textId="77777777" w:rsidR="001A0A2F" w:rsidRDefault="001A0A2F" w:rsidP="00F342F6">
      <w:r>
        <w:separator/>
      </w:r>
    </w:p>
  </w:endnote>
  <w:endnote w:type="continuationSeparator" w:id="0">
    <w:p w14:paraId="5C3349D3" w14:textId="77777777" w:rsidR="001A0A2F" w:rsidRDefault="001A0A2F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371E" w14:textId="77777777" w:rsidR="001A0A2F" w:rsidRDefault="001A0A2F" w:rsidP="00F342F6">
      <w:r>
        <w:separator/>
      </w:r>
    </w:p>
  </w:footnote>
  <w:footnote w:type="continuationSeparator" w:id="0">
    <w:p w14:paraId="0830685C" w14:textId="77777777" w:rsidR="001A0A2F" w:rsidRDefault="001A0A2F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246D2568"/>
    <w:multiLevelType w:val="hybridMultilevel"/>
    <w:tmpl w:val="A406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E36B6"/>
    <w:multiLevelType w:val="hybridMultilevel"/>
    <w:tmpl w:val="03E8333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75429790">
    <w:abstractNumId w:val="2"/>
  </w:num>
  <w:num w:numId="2" w16cid:durableId="51926431">
    <w:abstractNumId w:val="3"/>
  </w:num>
  <w:num w:numId="3" w16cid:durableId="1366516444">
    <w:abstractNumId w:val="0"/>
  </w:num>
  <w:num w:numId="4" w16cid:durableId="211224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1A0A2F"/>
    <w:rsid w:val="0020609E"/>
    <w:rsid w:val="002333AF"/>
    <w:rsid w:val="002A3B7F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71D6C"/>
    <w:rsid w:val="005E076B"/>
    <w:rsid w:val="005E16F1"/>
    <w:rsid w:val="0062322B"/>
    <w:rsid w:val="00643436"/>
    <w:rsid w:val="00686F12"/>
    <w:rsid w:val="00720921"/>
    <w:rsid w:val="0073170B"/>
    <w:rsid w:val="0075566D"/>
    <w:rsid w:val="007B5FB2"/>
    <w:rsid w:val="00812ACC"/>
    <w:rsid w:val="00832F66"/>
    <w:rsid w:val="008359B5"/>
    <w:rsid w:val="00854B87"/>
    <w:rsid w:val="0098770C"/>
    <w:rsid w:val="00A22947"/>
    <w:rsid w:val="00A257E7"/>
    <w:rsid w:val="00A25C27"/>
    <w:rsid w:val="00A26FAF"/>
    <w:rsid w:val="00A6224B"/>
    <w:rsid w:val="00A75081"/>
    <w:rsid w:val="00B04DA9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DC0A7F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  <w:style w:type="character" w:customStyle="1" w:styleId="object">
    <w:name w:val="object"/>
    <w:basedOn w:val="Policepardfaut"/>
    <w:rsid w:val="00DC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ddv.fr/analyse/la-loi-contre-le-racisme-du-1er-juillet-1972-un-texte-fondateur-20220321" TargetMode="External"/><Relationship Id="rId18" Type="http://schemas.openxmlformats.org/officeDocument/2006/relationships/hyperlink" Target="https://blog.juspoliticum.com/2020/07/04/le-sens-ordinaire-du-texte-de-la-loi-larret-bostock-v-clayton-county-cour-supreme-des-etats-unis-15-juin-2020-par-gwenaele-calves/" TargetMode="External"/><Relationship Id="rId26" Type="http://schemas.openxmlformats.org/officeDocument/2006/relationships/hyperlink" Target="https://www.gaucherepublicaine.org/respublica-laicite/respublica-combat-laique/la-chambre-sociale-de-la-cour-de-cassation-face-a-laffaire-baby-loup-trois-lecons-de-droit-et-un-silence-assourdissant/614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viedesidees.fr/Polemiques-et-controverses-autour-de-la-question-raciale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irn.info/revue-pouvoirs-2022-2-page-73.htm?wt.mc_id=crn-mel-a5630&amp;u=&amp;wt.tsrc=email" TargetMode="External"/><Relationship Id="rId17" Type="http://schemas.openxmlformats.org/officeDocument/2006/relationships/hyperlink" Target="https://www.mezetulle.fr/vous-enseignez-la-liberte-dexpression%E2%80%89-necoutez-pas-francois-heran%E2%80%89-par-gwenaele-calves/" TargetMode="External"/><Relationship Id="rId25" Type="http://schemas.openxmlformats.org/officeDocument/2006/relationships/hyperlink" Target="https://journals.openedition.org/revdh/848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evuedlf.com/droit-constitutionnel/interdiction-de-discriminer-et-conflits-internes-a-la-liberte-dexpression-actualite-de-la-jurisprudence-hurley-v-irish-american-gay-lesbian-and-bisexual-group-of-boston-cour-supreme-des-e/" TargetMode="External"/><Relationship Id="rId20" Type="http://schemas.openxmlformats.org/officeDocument/2006/relationships/hyperlink" Target="https://www.conseil-constitutionnel.fr/publications/titre-vii/la-cour-supreme-des-etats-unis-et-le-demantelement-de-l-affirmative-action" TargetMode="External"/><Relationship Id="rId29" Type="http://schemas.openxmlformats.org/officeDocument/2006/relationships/hyperlink" Target="https://blog.leclubdesjuristes.com/burkini-dans-les-piscines-grenobloises-un-defere-laicite-a-haut-risqu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irn.info/revue-constructif-2022-1-page-65.htm" TargetMode="External"/><Relationship Id="rId24" Type="http://schemas.openxmlformats.org/officeDocument/2006/relationships/hyperlink" Target="https://cdn.reseau-canope.fr/archivage/valid/N-8746-12656.pdf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mezetulle.fr/des-habitus-laiques-des-habitus-anti-laiques-par-gwenaele-calves/" TargetMode="External"/><Relationship Id="rId23" Type="http://schemas.openxmlformats.org/officeDocument/2006/relationships/hyperlink" Target="http://juspoliticum.com/article/La-manifestation-coeur-battant-de-la-democratie-1140.html" TargetMode="External"/><Relationship Id="rId28" Type="http://schemas.openxmlformats.org/officeDocument/2006/relationships/hyperlink" Target="http://www.revuedlf.com/droit-administratif/service-public-et-fait-religieux-la-question-des-accommodements-raisonnables/" TargetMode="External"/><Relationship Id="rId10" Type="http://schemas.openxmlformats.org/officeDocument/2006/relationships/hyperlink" Target="https://blog.leclubdesjuristes.com/burkini-dans-les-piscines-grenobloises-un-defere-laicite-a-haut-risque/" TargetMode="External"/><Relationship Id="rId19" Type="http://schemas.openxmlformats.org/officeDocument/2006/relationships/hyperlink" Target="https://www.cairn.info/revue-constructif-2020-2-page-54.ht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vuedlf.com/droit-administratif/service-public-et-fait-religieux-la-question-des-accommodements-raisonnables/" TargetMode="External"/><Relationship Id="rId14" Type="http://schemas.openxmlformats.org/officeDocument/2006/relationships/hyperlink" Target="https://blog.juspoliticum.com/2021/04/06/la-liberte-de-parole-des-ministres-du-culte-remarques-sur-le-projet-de-loi-separatisme-par-gwenaele-calves/" TargetMode="External"/><Relationship Id="rId22" Type="http://schemas.openxmlformats.org/officeDocument/2006/relationships/hyperlink" Target="http://www.droitucp.fr/uploads/filemanager/source/recherche/lejep/publications/2019/Calve%CC%80s%20colloque%20DDD.pdf" TargetMode="External"/><Relationship Id="rId27" Type="http://schemas.openxmlformats.org/officeDocument/2006/relationships/hyperlink" Target="https://www.gaucherepublicaine.org/respublica-idees/respublica-entretiens-respublica-idees/decision-du-conseil-constitutionnel-sur-la-laicite-entretien-avec-gwenaele-calves-professeur-de-droit-public/6040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www.collectionreperes.com/la_laicite-978234807156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33BF2-A6A1-4709-A37A-BCAC1F5B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1830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2020-09-11T13:24:00Z</cp:lastPrinted>
  <dcterms:created xsi:type="dcterms:W3CDTF">2022-05-10T13:53:00Z</dcterms:created>
  <dcterms:modified xsi:type="dcterms:W3CDTF">2022-09-26T13:26:00Z</dcterms:modified>
</cp:coreProperties>
</file>