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D17F5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D17F5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253A46A2" w14:textId="77777777" w:rsidR="00D17F5D" w:rsidRPr="00D17F5D" w:rsidRDefault="00D17F5D" w:rsidP="00D17F5D">
      <w:pPr>
        <w:adjustRightInd w:val="0"/>
        <w:snapToGrid w:val="0"/>
        <w:ind w:right="680"/>
        <w:jc w:val="center"/>
        <w:rPr>
          <w:rFonts w:ascii="Arial" w:hAnsi="Arial" w:cs="Arial"/>
          <w:b/>
          <w:bCs/>
          <w:color w:val="3E3B38"/>
          <w:sz w:val="36"/>
          <w:szCs w:val="36"/>
        </w:rPr>
      </w:pPr>
      <w:r w:rsidRPr="00D17F5D">
        <w:rPr>
          <w:rFonts w:ascii="Arial" w:hAnsi="Arial" w:cs="Arial"/>
          <w:b/>
          <w:bCs/>
          <w:color w:val="3E3B38"/>
          <w:sz w:val="36"/>
          <w:szCs w:val="36"/>
        </w:rPr>
        <w:t>Marie CAFFIN-MOI</w:t>
      </w:r>
    </w:p>
    <w:p w14:paraId="01B45BD7" w14:textId="0207A709" w:rsidR="00FA24D4" w:rsidRPr="00D17F5D" w:rsidRDefault="00D17F5D" w:rsidP="00D17F5D">
      <w:pPr>
        <w:adjustRightInd w:val="0"/>
        <w:snapToGrid w:val="0"/>
        <w:ind w:right="680"/>
        <w:jc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bCs/>
          <w:color w:val="3E3B38"/>
          <w:sz w:val="28"/>
          <w:szCs w:val="36"/>
        </w:rPr>
        <w:t>Professeur des universités en droit privé</w:t>
      </w:r>
    </w:p>
    <w:p w14:paraId="6EB3632C" w14:textId="77777777" w:rsidR="003A1D74" w:rsidRPr="003A1D74" w:rsidRDefault="003A1D74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20"/>
          <w:szCs w:val="20"/>
        </w:rPr>
      </w:pPr>
    </w:p>
    <w:p w14:paraId="25D09437" w14:textId="77777777" w:rsidR="00CE4422" w:rsidRDefault="00CE4422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242B0BE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D17F5D">
        <w:rPr>
          <w:rFonts w:ascii="Arial" w:hAnsi="Arial" w:cs="Arial"/>
          <w:b/>
          <w:color w:val="C00000"/>
          <w:sz w:val="20"/>
          <w:szCs w:val="20"/>
        </w:rPr>
        <w:t>Publications</w:t>
      </w:r>
    </w:p>
    <w:p w14:paraId="6383548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3D0DD397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D17F5D">
        <w:rPr>
          <w:rFonts w:ascii="Arial" w:hAnsi="Arial" w:cs="Arial"/>
          <w:b/>
          <w:color w:val="3E3B38"/>
          <w:sz w:val="20"/>
          <w:szCs w:val="20"/>
        </w:rPr>
        <w:t>Ouvrage :</w:t>
      </w:r>
    </w:p>
    <w:p w14:paraId="567B21C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bookmarkStart w:id="0" w:name="_GoBack"/>
      <w:bookmarkEnd w:id="0"/>
    </w:p>
    <w:p w14:paraId="51147A27" w14:textId="77777777" w:rsid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Cession de droits sociaux et droit des contrats, Economica, 2009,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préf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D. Bureau. Ouvrage couronné du prix de la Revue des contrats et du prix Joseph Hamel de l’Académie des sciences morales et politiques.</w:t>
      </w:r>
    </w:p>
    <w:p w14:paraId="5B077DEC" w14:textId="77777777" w:rsid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B7B21B3" w14:textId="025391A8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D17F5D">
        <w:rPr>
          <w:rFonts w:ascii="Arial" w:hAnsi="Arial" w:cs="Arial"/>
          <w:b/>
          <w:color w:val="3E3B38"/>
          <w:sz w:val="20"/>
          <w:szCs w:val="20"/>
        </w:rPr>
        <w:t>Articles / contribution à ouvrage collectif :</w:t>
      </w:r>
    </w:p>
    <w:p w14:paraId="7DC8B2C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77F8BEF" w14:textId="6703AFB0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Pour un cantonnement de l’exigence de contribution aux pertes », in Liber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amicorum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, Mélanges en l’honneur de P. Merle, Dalloz, 2012.</w:t>
      </w:r>
    </w:p>
    <w:p w14:paraId="13280B3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96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24424F1" w14:textId="78702383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La responsabilité pour faute de l’associé : une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évolution  à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front renversé », in Mélanges en l’honneur du Professeur Michel Germain, LGDJ, Lextenso éditions, 2015.</w:t>
      </w:r>
    </w:p>
    <w:p w14:paraId="0B49D5B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96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A99A99A" w14:textId="4119A02C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«L’exécution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forcée des promesses de vente de titres », in « Les promesses de vente de titres », Dossier Actes pratiques et ingénierie sociétaire, janvier – février 2015.</w:t>
      </w:r>
    </w:p>
    <w:p w14:paraId="640C3FA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96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4F35FB2" w14:textId="0F228338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Les vices du consentement », in « Le droit des sociétés et la réforme du droit des contrats », Dossier Actes pratiques et ingénierie sociétaire, mai - juin 2016, pp. 51-58. </w:t>
      </w:r>
    </w:p>
    <w:p w14:paraId="47AB064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96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71CD11A" w14:textId="4419AA0C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Les restitutions consécutives à l’anéantissement des cessions de droits sociaux » in Mélanges en l’honneur de J.-J.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Daigre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, co-écrit avec A.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Rabreau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, Joly éditions, Lextenso, 2017.</w:t>
      </w:r>
    </w:p>
    <w:p w14:paraId="778E76D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96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F72BA67" w14:textId="279D546B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Contribution au Dictionnaire du contrat, L.G.D.J., Lextenso, 2018,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D. Mazeaud, R. Boffa et N.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Blanc  :</w:t>
      </w:r>
      <w:proofErr w:type="gramEnd"/>
    </w:p>
    <w:p w14:paraId="5F65CB39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F32205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Clause d’agrément</w:t>
      </w:r>
    </w:p>
    <w:p w14:paraId="210EE91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411087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Contrat d’apport</w:t>
      </w:r>
    </w:p>
    <w:p w14:paraId="2C7FD49E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F0C7B2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Contrat de société</w:t>
      </w:r>
    </w:p>
    <w:p w14:paraId="5CDC70A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FD9FA47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Clause d’exclusion</w:t>
      </w:r>
    </w:p>
    <w:p w14:paraId="3863403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2A2A62A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Clause léonine</w:t>
      </w:r>
    </w:p>
    <w:p w14:paraId="44CD779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971CFF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Garantie de passif</w:t>
      </w:r>
    </w:p>
    <w:p w14:paraId="3E4531F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F99CF40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ind w:left="1778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V° Pacte d’actionnaires</w:t>
      </w:r>
    </w:p>
    <w:p w14:paraId="4AB0CF3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C0B8D9B" w14:textId="3D133178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lastRenderedPageBreak/>
        <w:t>« Fin de l’exigence d’unanimité pour l’adoption ou la modification de la clause d’exclusion dans la SAS ? », Gaz. Pal. 25 juin 2019.</w:t>
      </w:r>
    </w:p>
    <w:p w14:paraId="62447ED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8C246E1" w14:textId="35ACD501" w:rsidR="00D17F5D" w:rsidRPr="00D17F5D" w:rsidRDefault="00D17F5D" w:rsidP="00D17F5D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«  Le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droit de demeurer associé dans la SAS (interrogations sur le régime des clauses d’exclusion) », in La SAS : 25 ans après, Lexis Nexis, coll. F.N.D.E.,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J.-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C.Pagnucco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,  pp. 115-125.</w:t>
      </w:r>
    </w:p>
    <w:p w14:paraId="50262AF6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34AF7B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D17F5D">
        <w:rPr>
          <w:rFonts w:ascii="Arial" w:hAnsi="Arial" w:cs="Arial"/>
          <w:b/>
          <w:color w:val="3E3B38"/>
          <w:sz w:val="20"/>
          <w:szCs w:val="20"/>
        </w:rPr>
        <w:t>Fascicule :</w:t>
      </w:r>
    </w:p>
    <w:p w14:paraId="4E0DBA8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FB912AC" w14:textId="053121E0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Théorie des bénéfices et des pertes - Les clauses léonines », fasc.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Juris-Classeur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Société, octobre 2012</w:t>
      </w:r>
    </w:p>
    <w:p w14:paraId="7A0E3D94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F5D4297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D17F5D">
        <w:rPr>
          <w:rFonts w:ascii="Arial" w:hAnsi="Arial" w:cs="Arial"/>
          <w:b/>
          <w:color w:val="3E3B38"/>
          <w:sz w:val="20"/>
          <w:szCs w:val="20"/>
        </w:rPr>
        <w:t>Notes de jurisprudence :</w:t>
      </w:r>
    </w:p>
    <w:p w14:paraId="07D05D0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F8D4B34" w14:textId="3D701BC5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23 mars 2010, Bull. Joly sociétés 2010, p. 639 (« Une incertaine appréciation de la déloyauté dans la conduite des pourparlers »).</w:t>
      </w:r>
    </w:p>
    <w:p w14:paraId="4A8AE12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CED9301" w14:textId="66AF3E8F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14 septembre 2010, Bull. Joly sociétés 2010, p. 966 (« Désignation judiciaire de l’expert de l’article 1843-4 et excès de pouvoir : une occasion manquée »).</w:t>
      </w:r>
    </w:p>
    <w:p w14:paraId="512D596A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3CC1F5C" w14:textId="52552FB9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Com. 28 septembre 2010, Bull. Joly sociétés 2011, p. 92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(«Ratification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de porte-fort par le représentant d’un cédant de droits sociaux incapable »).</w:t>
      </w:r>
    </w:p>
    <w:p w14:paraId="58DBDCD2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5B33A50" w14:textId="18F6633D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2e, 1er juin 2011,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Rev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sociétés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2011 p. 679 (« Assurance responsabilité des dirigeants : étendue de la couverture et nature de la faute »).</w:t>
      </w:r>
    </w:p>
    <w:p w14:paraId="47D0B04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C06995D" w14:textId="3F49E8DC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10 juillet 2012, Recueil Dalloz, 2012, p. 2272 (« Dol dans la formation du contrat : la question délicate du préjudice réparable »).</w:t>
      </w:r>
    </w:p>
    <w:p w14:paraId="14363FE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03E66D3" w14:textId="2337E797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Com. 29 janvier 2013,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Rev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sociétés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juillet-août 2013 (« L’admission des clauses d’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intuitus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personae dans le contrat de distribution : influence sur le droit des sociétés »).</w:t>
      </w:r>
    </w:p>
    <w:p w14:paraId="74FB615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AD1A197" w14:textId="7B8009EB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16 avril 2013, Bull. Joly 2013, p. 562 (« Fixation de la rémunération du directeur général : une souplesse surprenante »).</w:t>
      </w:r>
    </w:p>
    <w:p w14:paraId="0731106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04FCEBD" w14:textId="56FA5C39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Bastia, 24 juillet 2013,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Rev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sociétés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2014, p. 47 (« Rémunération du dirigeant de SAS : quid de la procédure d’approbation des conventions ? »).</w:t>
      </w:r>
    </w:p>
    <w:p w14:paraId="10BAD16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A00EEE1" w14:textId="647F4E0B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11 mars 2014, RLDA juin 2014, p. 10 (« L’article 1843-4 : un revirement à intensité variable »).</w:t>
      </w:r>
    </w:p>
    <w:p w14:paraId="40D9235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52E4282" w14:textId="3255C50C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Com. 23 septembre 2014,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Rev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sociétés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 xml:space="preserve"> 2015, p. 166 (« Aide à une filiale et préjudice direct »)</w:t>
      </w:r>
    </w:p>
    <w:p w14:paraId="3ABA5702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9A8C324" w14:textId="17570491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3 février 2015, JCP G 2015, 373 (« La garantie d’actif ou de passif ne chasse pas les moyens légaux de protection du cessionnaire de droits sociaux »).</w:t>
      </w:r>
    </w:p>
    <w:p w14:paraId="7A5306A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E32446D" w14:textId="1CCADE0A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Note sous Com. 30 juin 2015, JCP G 2015, 970 (« Clause statutaire organisant les modalités de prorogation de la société : quelle portée ? »).</w:t>
      </w:r>
    </w:p>
    <w:p w14:paraId="4977DFD7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6D31792" w14:textId="2DB4DDE8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3e, 15 octobre 2015, Bull. Joly sociétés 2016, p. 103 (« La prescription triennale de l’action en nullité des actes et délibérations résiste-t-elle à la fraude ? »).</w:t>
      </w:r>
    </w:p>
    <w:p w14:paraId="3B3BF50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635230F" w14:textId="197B6620" w:rsidR="00D17F5D" w:rsidRPr="00D17F5D" w:rsidRDefault="00D17F5D" w:rsidP="00D17F5D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Note sous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1re, 8 janvier 2020, Bull. Joly Sociétés 2020 (« Retrait de SCP d’avocats : article 1843-4 dans le temps et pouvoir du bâtonnier »)</w:t>
      </w:r>
    </w:p>
    <w:p w14:paraId="3F8EAB6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504F94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D17F5D">
        <w:rPr>
          <w:rFonts w:ascii="Arial" w:hAnsi="Arial" w:cs="Arial"/>
          <w:b/>
          <w:color w:val="3E3B38"/>
          <w:sz w:val="20"/>
          <w:szCs w:val="20"/>
        </w:rPr>
        <w:t>Chroniques :</w:t>
      </w:r>
    </w:p>
    <w:p w14:paraId="5ADC379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D4C8B9E" w14:textId="009D638A" w:rsidR="00D17F5D" w:rsidRPr="00D17F5D" w:rsidRDefault="00D17F5D" w:rsidP="00D17F5D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Contribution mensuelle, revue LEDC (L’essentiel du droit des contrats), Lextenso, de février 2012 à décembre 2017 (130 observations)</w:t>
      </w:r>
    </w:p>
    <w:p w14:paraId="0C95135A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E142D33" w14:textId="781501EE" w:rsidR="00D17F5D" w:rsidRPr="00D17F5D" w:rsidRDefault="00D17F5D" w:rsidP="00D17F5D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Chronique semestrielle « Cessions de droits sociaux », JCP E., avec M.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Buchberger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et B.O. Becker, depuis septembre 2013 :</w:t>
      </w:r>
    </w:p>
    <w:p w14:paraId="7716DEA2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367D647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15 janvier 2013 ; Com. 14 mai 2013, JCP E 2013, 1519. </w:t>
      </w:r>
    </w:p>
    <w:p w14:paraId="01942B27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C4823FA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24 septembre 2013 ; Com. 24 septembre 2013, JCP E 2014, 1189. </w:t>
      </w:r>
    </w:p>
    <w:p w14:paraId="6698F91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59A14A9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21 janvier 2014 ; Com. 20 mai 2014 ; Com. 11 mars 2014, JCP E 2014, 1515. </w:t>
      </w:r>
    </w:p>
    <w:p w14:paraId="531752E3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0D3B0D9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1re, 22 octobre 2014 ;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1re 22 octobre 2014, JCP E 2015, 1186. </w:t>
      </w:r>
    </w:p>
    <w:p w14:paraId="14343B4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2D26FA7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3 février 2015 ;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1re, 4 février 2015 ; Com. 12 mai 2015, JCP E 2015, 1577. </w:t>
      </w:r>
    </w:p>
    <w:p w14:paraId="4E122C3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A380072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10 novembre 2015 ; Com. 29 septembre 2015 ; C.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Constit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, DC n° 2015-486, QPC du 7 octobre2015 ; Com. 17 novembre 2015, JCP E 2016, 1217. </w:t>
      </w:r>
    </w:p>
    <w:p w14:paraId="4175D88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1016978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30 mars 2016 ; Com. 21 juin 2016 ; Com. 22 mars 2016 ; Com. 27 juin 2016, JCP E 2016, 1554 </w:t>
      </w:r>
    </w:p>
    <w:p w14:paraId="0E380F0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7A5C26F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Com. 22 novembre 2016 ; Com. 29 novembre 2016, JCP E 2017, 1214 </w:t>
      </w:r>
    </w:p>
    <w:p w14:paraId="4D20E0F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162FF88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Com. 8 février 2017 ; Com. 25 janvier 2017, JCP E 2017, 1610.</w:t>
      </w:r>
    </w:p>
    <w:p w14:paraId="4DF1C6C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F64310A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1re, 5 juillet 2017 ;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Civ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3e, 30 novembre 2017, JCP E 2018, 1215.</w:t>
      </w:r>
    </w:p>
    <w:p w14:paraId="51BA2306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CDE8793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Com. 27 juin 2018 ; Com. 16 mai 2018 ; Com. 3 mai 2018, JCP E 2018, 1631.</w:t>
      </w:r>
    </w:p>
    <w:p w14:paraId="30040FE9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6E31AB7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Com. 14 novembre 2018 ; Com. 10 octobre 2018 ; Com. 12 décembre 2018, JCP E 2019, 1282.</w:t>
      </w:r>
    </w:p>
    <w:p w14:paraId="7184936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616D339" w14:textId="77777777" w:rsidR="00D17F5D" w:rsidRPr="00D17F5D" w:rsidRDefault="00D17F5D" w:rsidP="00D17F5D">
      <w:pPr>
        <w:pStyle w:val="Paragraphedelist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lastRenderedPageBreak/>
        <w:t>Com. 13 mars 2019 ; Com. 10 avril 2019 ; JCP E 2020, 1034</w:t>
      </w:r>
    </w:p>
    <w:p w14:paraId="34B1E33C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767511C" w14:textId="7873703C" w:rsidR="00D17F5D" w:rsidRPr="00D17F5D" w:rsidRDefault="00D17F5D" w:rsidP="00D17F5D">
      <w:pPr>
        <w:pStyle w:val="Paragraphedeliste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Contribution à une Chronique trimestrielle « Droit des sociétés », Gaz. Pal.,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D. Gallois-Cochet et M. Laroche, à partir de février 2018 :</w:t>
      </w:r>
    </w:p>
    <w:p w14:paraId="419F709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4EAD9F3" w14:textId="77777777" w:rsidR="00D17F5D" w:rsidRPr="00D17F5D" w:rsidRDefault="00D17F5D" w:rsidP="00D17F5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Civ.2e, 28 septembre 2017, « Nullité d’une déclaration de surenchère par une société en formation », Gaz. Pal. 3 avril 2018</w:t>
      </w:r>
    </w:p>
    <w:p w14:paraId="60B815D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129EB44" w14:textId="77777777" w:rsidR="00D17F5D" w:rsidRPr="00D17F5D" w:rsidRDefault="00D17F5D" w:rsidP="00D17F5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Soc. 28 mars 2018, « Le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co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-emploi dans les groupes : une théorie de plus en </w:t>
      </w:r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plus….</w:t>
      </w:r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>théorique »,  Gaz. Pal. 26 juin 2018</w:t>
      </w:r>
    </w:p>
    <w:p w14:paraId="1033383E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8016044" w14:textId="77777777" w:rsidR="00D17F5D" w:rsidRPr="00D17F5D" w:rsidRDefault="00D17F5D" w:rsidP="00D17F5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Com. 30 mai 2018, « L’associé d’une société en participation dissoute peut demander le partage des bénéfices », Gaz. Pal. 18 décembre 2018</w:t>
      </w:r>
    </w:p>
    <w:p w14:paraId="07D6DDF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90DBDE5" w14:textId="77777777" w:rsidR="00D17F5D" w:rsidRPr="00D17F5D" w:rsidRDefault="00D17F5D" w:rsidP="00D17F5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221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Com. 28 novembre 2018, « Augmentation de capital réservée aux salariés : précisions sur les conditions de la régularisation en cas de violation du dispositif incitatif », Gaz. Pal. 26 mars 2019</w:t>
      </w:r>
    </w:p>
    <w:p w14:paraId="7F3AD560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F18C64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25EF4368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  <w:lang w:val="en-US"/>
        </w:rPr>
      </w:pPr>
      <w:r w:rsidRPr="00D17F5D">
        <w:rPr>
          <w:rFonts w:ascii="Arial" w:hAnsi="Arial" w:cs="Arial"/>
          <w:b/>
          <w:color w:val="3E3B38"/>
          <w:sz w:val="20"/>
          <w:szCs w:val="20"/>
          <w:lang w:val="en-US"/>
        </w:rPr>
        <w:t xml:space="preserve">Communications </w:t>
      </w:r>
      <w:proofErr w:type="spellStart"/>
      <w:proofErr w:type="gramStart"/>
      <w:r w:rsidRPr="00D17F5D">
        <w:rPr>
          <w:rFonts w:ascii="Arial" w:hAnsi="Arial" w:cs="Arial"/>
          <w:b/>
          <w:color w:val="3E3B38"/>
          <w:sz w:val="20"/>
          <w:szCs w:val="20"/>
          <w:lang w:val="en-US"/>
        </w:rPr>
        <w:t>publiées</w:t>
      </w:r>
      <w:proofErr w:type="spellEnd"/>
      <w:r w:rsidRPr="00D17F5D">
        <w:rPr>
          <w:rFonts w:ascii="Arial" w:hAnsi="Arial" w:cs="Arial"/>
          <w:b/>
          <w:color w:val="3E3B38"/>
          <w:sz w:val="20"/>
          <w:szCs w:val="20"/>
          <w:lang w:val="en-US"/>
        </w:rPr>
        <w:t xml:space="preserve"> :</w:t>
      </w:r>
      <w:proofErr w:type="gramEnd"/>
    </w:p>
    <w:p w14:paraId="66F9C5DE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</w:p>
    <w:p w14:paraId="1728D4BB" w14:textId="2CBA39BA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« Key trends in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french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company law, reforms since 2000 », co-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écrit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avec D.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Gallois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-Cochet,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Journées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d’études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au Max Planck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Institut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de Hamburg, Reforming the law of obligations and company law, studies in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french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and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  <w:lang w:val="en-US"/>
        </w:rPr>
        <w:t>german</w:t>
      </w:r>
      <w:proofErr w:type="spellEnd"/>
      <w:r w:rsidRPr="00D17F5D">
        <w:rPr>
          <w:rFonts w:ascii="Arial" w:hAnsi="Arial" w:cs="Arial"/>
          <w:color w:val="3E3B38"/>
          <w:sz w:val="20"/>
          <w:szCs w:val="20"/>
          <w:lang w:val="en-US"/>
        </w:rPr>
        <w:t xml:space="preserve"> law, dir. </w:t>
      </w:r>
      <w:r w:rsidRPr="00D17F5D">
        <w:rPr>
          <w:rFonts w:ascii="Arial" w:hAnsi="Arial" w:cs="Arial"/>
          <w:color w:val="3E3B38"/>
          <w:sz w:val="20"/>
          <w:szCs w:val="20"/>
        </w:rPr>
        <w:t xml:space="preserve">W.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Doralt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 et O. Deshayes, Société de législation comparée, vol. 8, p. 91.</w:t>
      </w:r>
    </w:p>
    <w:p w14:paraId="1475BFCF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44C32AF" w14:textId="22BB4593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« La place des salariés dans le conseil d’administration », Congrès OCDE Ethique et gouvernance, avril 2014 (actes à paraître).</w:t>
      </w:r>
    </w:p>
    <w:p w14:paraId="7A4105D0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B88FD24" w14:textId="208A869A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« La simplification du droit des entreprises en métropole », in « Quel droit pour les entreprises en Nouvelle-Calédonie ? », colloque à l’Université de Nouméa, 26 et 27 septembre 2018 (à paraître PUNC)</w:t>
      </w:r>
    </w:p>
    <w:p w14:paraId="41641C3B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89BC838" w14:textId="152061D6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>« Rapport de synthèse », in « Quel droit pour les entreprises en Nouvelle-Calédonie ? », colloque à l’Université de Nouméa, 26 et 27 septembre 2018 (à paraître PUNC)</w:t>
      </w:r>
    </w:p>
    <w:p w14:paraId="4B5CDC71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481BB8F" w14:textId="77777777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Le droit de demeurer associé dans la SAS (interrogations sur le régime des clauses d’exclusion) », in La SAS : 25 ans après, Actes du colloque national DJCE tenu le 5 avril 2019 à la Faculté de Droit de Caen,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J.-</w:t>
      </w:r>
      <w:proofErr w:type="spellStart"/>
      <w:proofErr w:type="gramStart"/>
      <w:r w:rsidRPr="00D17F5D">
        <w:rPr>
          <w:rFonts w:ascii="Arial" w:hAnsi="Arial" w:cs="Arial"/>
          <w:color w:val="3E3B38"/>
          <w:sz w:val="20"/>
          <w:szCs w:val="20"/>
        </w:rPr>
        <w:t>C.Pagnucco</w:t>
      </w:r>
      <w:proofErr w:type="spellEnd"/>
      <w:proofErr w:type="gramEnd"/>
      <w:r w:rsidRPr="00D17F5D">
        <w:rPr>
          <w:rFonts w:ascii="Arial" w:hAnsi="Arial" w:cs="Arial"/>
          <w:color w:val="3E3B38"/>
          <w:sz w:val="20"/>
          <w:szCs w:val="20"/>
        </w:rPr>
        <w:t>, Lexis Nexis, coll. F.N.D.E., pp. 115-125.</w:t>
      </w:r>
    </w:p>
    <w:p w14:paraId="400534FE" w14:textId="77777777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Participation à des colloques ou manifestations sans publication </w:t>
      </w:r>
    </w:p>
    <w:p w14:paraId="22CEB829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F7BC619" w14:textId="16560FB5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D’un droit commun européen à une fondamentalisation du droit des sociétés », Colloque Les échelles du droit commun, Université du Littoral, 7 et 8 décembre 2011. </w:t>
      </w:r>
    </w:p>
    <w:p w14:paraId="7A6B98AD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CCD1EC2" w14:textId="77777777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lastRenderedPageBreak/>
        <w:t xml:space="preserve">Direction scientifique conférence doctorale régionale PRES Lille Nord de France (IDP Univ. Valenciennes) : « Les sources du droit – perspectives horizontale et verticale », 22 mars 2012. </w:t>
      </w:r>
    </w:p>
    <w:p w14:paraId="3421C05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DDC5E24" w14:textId="77777777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L’article 6 §1 de la CEDH et le droit des affaires », Conférence doctorale régionale PRES Lille Nord de France, « Regards croisés sur l’actualité du droit de la CEDH », 18 janvier 2011. </w:t>
      </w:r>
    </w:p>
    <w:p w14:paraId="5A1435B6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45D6E84" w14:textId="77777777" w:rsidR="00D17F5D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La place du contrat de société dans la classification des contrats », Réforme du droit des contrats et droit des sociétés, Université de Reims,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 xml:space="preserve">. J.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Moury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, 12 mai 2017.</w:t>
      </w:r>
    </w:p>
    <w:p w14:paraId="1F65B145" w14:textId="77777777" w:rsidR="00D17F5D" w:rsidRPr="00D17F5D" w:rsidRDefault="00D17F5D" w:rsidP="00D17F5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47FD53" w14:textId="1B4E6C73" w:rsidR="00FA24D4" w:rsidRPr="00D17F5D" w:rsidRDefault="00D17F5D" w:rsidP="00D17F5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D17F5D">
        <w:rPr>
          <w:rFonts w:ascii="Arial" w:hAnsi="Arial" w:cs="Arial"/>
          <w:color w:val="3E3B38"/>
          <w:sz w:val="20"/>
          <w:szCs w:val="20"/>
        </w:rPr>
        <w:t xml:space="preserve">« Actualité jurisprudentielle et légale de l’article 1843-4 », Formation ENM à l’intention des juges consulaires, </w:t>
      </w:r>
      <w:proofErr w:type="spellStart"/>
      <w:r w:rsidRPr="00D17F5D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D17F5D">
        <w:rPr>
          <w:rFonts w:ascii="Arial" w:hAnsi="Arial" w:cs="Arial"/>
          <w:color w:val="3E3B38"/>
          <w:sz w:val="20"/>
          <w:szCs w:val="20"/>
        </w:rPr>
        <w:t>. D. Gallois-Cochet, octobre 2019.</w:t>
      </w:r>
    </w:p>
    <w:sectPr w:rsidR="00FA24D4" w:rsidRPr="00D17F5D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B47E" w14:textId="77777777" w:rsidR="006A08E7" w:rsidRDefault="006A08E7" w:rsidP="00F342F6">
      <w:r>
        <w:separator/>
      </w:r>
    </w:p>
  </w:endnote>
  <w:endnote w:type="continuationSeparator" w:id="0">
    <w:p w14:paraId="041AD183" w14:textId="77777777" w:rsidR="006A08E7" w:rsidRDefault="006A08E7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B7B9" w14:textId="77777777" w:rsidR="006A08E7" w:rsidRDefault="006A08E7" w:rsidP="00F342F6">
      <w:r>
        <w:separator/>
      </w:r>
    </w:p>
  </w:footnote>
  <w:footnote w:type="continuationSeparator" w:id="0">
    <w:p w14:paraId="4D592822" w14:textId="77777777" w:rsidR="006A08E7" w:rsidRDefault="006A08E7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1DE"/>
    <w:multiLevelType w:val="hybridMultilevel"/>
    <w:tmpl w:val="265AAF40"/>
    <w:lvl w:ilvl="0" w:tplc="2E7491C2">
      <w:start w:val="5"/>
      <w:numFmt w:val="bullet"/>
      <w:lvlText w:val="–"/>
      <w:lvlJc w:val="left"/>
      <w:pPr>
        <w:ind w:left="14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5BE7A1D"/>
    <w:multiLevelType w:val="hybridMultilevel"/>
    <w:tmpl w:val="70B435E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453B35"/>
    <w:multiLevelType w:val="hybridMultilevel"/>
    <w:tmpl w:val="E5D2444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 w15:restartNumberingAfterBreak="0">
    <w:nsid w:val="3FAE403B"/>
    <w:multiLevelType w:val="hybridMultilevel"/>
    <w:tmpl w:val="B4A476C6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48EC53C9"/>
    <w:multiLevelType w:val="hybridMultilevel"/>
    <w:tmpl w:val="5C1287A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72D3099"/>
    <w:multiLevelType w:val="hybridMultilevel"/>
    <w:tmpl w:val="2C6466AC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8F73FD7"/>
    <w:multiLevelType w:val="hybridMultilevel"/>
    <w:tmpl w:val="9410AF12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633BC"/>
    <w:multiLevelType w:val="hybridMultilevel"/>
    <w:tmpl w:val="D18A14D8"/>
    <w:lvl w:ilvl="0" w:tplc="2E7491C2">
      <w:start w:val="5"/>
      <w:numFmt w:val="bullet"/>
      <w:lvlText w:val="–"/>
      <w:lvlJc w:val="left"/>
      <w:pPr>
        <w:ind w:left="14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7EA42849"/>
    <w:multiLevelType w:val="hybridMultilevel"/>
    <w:tmpl w:val="7ACC8714"/>
    <w:lvl w:ilvl="0" w:tplc="2E7491C2">
      <w:start w:val="5"/>
      <w:numFmt w:val="bullet"/>
      <w:lvlText w:val="–"/>
      <w:lvlJc w:val="left"/>
      <w:pPr>
        <w:ind w:left="14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6A08E7"/>
    <w:rsid w:val="00720921"/>
    <w:rsid w:val="0073170B"/>
    <w:rsid w:val="007B5FB2"/>
    <w:rsid w:val="00812ACC"/>
    <w:rsid w:val="00832F66"/>
    <w:rsid w:val="008359B5"/>
    <w:rsid w:val="00854B87"/>
    <w:rsid w:val="0098770C"/>
    <w:rsid w:val="00A22947"/>
    <w:rsid w:val="00A257E7"/>
    <w:rsid w:val="00A25C27"/>
    <w:rsid w:val="00A6224B"/>
    <w:rsid w:val="00A75081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D17F5D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F320E-E5C8-4433-9CFF-9EB57BC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2022-05-21T16:44:00Z</dcterms:created>
  <dcterms:modified xsi:type="dcterms:W3CDTF">2022-05-21T16:44:00Z</dcterms:modified>
</cp:coreProperties>
</file>