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Default="00812ACC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  <w:bookmarkStart w:id="0" w:name="_GoBack"/>
      <w:bookmarkEnd w:id="0"/>
    </w:p>
    <w:p w14:paraId="5A376E85" w14:textId="626B3A18" w:rsidR="002F64FD" w:rsidRDefault="002F64FD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1F6FE879" w14:textId="77777777" w:rsidR="00E95D45" w:rsidRDefault="00E95D45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3E3B38"/>
          <w:sz w:val="36"/>
          <w:szCs w:val="36"/>
        </w:rPr>
      </w:pPr>
      <w:r w:rsidRPr="00E95D45">
        <w:rPr>
          <w:rFonts w:ascii="Arial" w:hAnsi="Arial" w:cs="Arial"/>
          <w:b/>
          <w:bCs/>
          <w:color w:val="3E3B38"/>
          <w:sz w:val="36"/>
          <w:szCs w:val="36"/>
        </w:rPr>
        <w:t>Thierry VIGNAL</w:t>
      </w:r>
    </w:p>
    <w:p w14:paraId="6EB3632C" w14:textId="7069A1C5" w:rsidR="003A1D74" w:rsidRPr="002D7F33" w:rsidRDefault="008E1028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Cs/>
          <w:color w:val="3E3B38"/>
          <w:sz w:val="16"/>
          <w:szCs w:val="20"/>
        </w:rPr>
      </w:pPr>
      <w:r>
        <w:rPr>
          <w:rFonts w:ascii="Arial" w:hAnsi="Arial" w:cs="Arial"/>
          <w:bCs/>
          <w:color w:val="3E3B38"/>
          <w:sz w:val="28"/>
          <w:szCs w:val="36"/>
        </w:rPr>
        <w:t>Professeur des universités</w:t>
      </w:r>
      <w:r w:rsidR="00462905">
        <w:rPr>
          <w:rFonts w:ascii="Arial" w:hAnsi="Arial" w:cs="Arial"/>
          <w:bCs/>
          <w:color w:val="3E3B38"/>
          <w:sz w:val="28"/>
          <w:szCs w:val="36"/>
        </w:rPr>
        <w:t xml:space="preserve"> en droit </w:t>
      </w:r>
      <w:r w:rsidR="00DC7CFE">
        <w:rPr>
          <w:rFonts w:ascii="Arial" w:hAnsi="Arial" w:cs="Arial"/>
          <w:bCs/>
          <w:color w:val="3E3B38"/>
          <w:sz w:val="28"/>
          <w:szCs w:val="36"/>
        </w:rPr>
        <w:t>privé</w:t>
      </w:r>
    </w:p>
    <w:p w14:paraId="5628C206" w14:textId="77777777" w:rsidR="00406D92" w:rsidRDefault="00406D92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72F07961" w14:textId="1CE196D1" w:rsidR="003A1D74" w:rsidRPr="00CE4422" w:rsidRDefault="001306B9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Publications</w:t>
      </w:r>
    </w:p>
    <w:p w14:paraId="706281C4" w14:textId="77777777" w:rsidR="00406D92" w:rsidRDefault="00406D92" w:rsidP="0014540B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B3838" w:themeColor="background2" w:themeShade="40"/>
          <w:sz w:val="20"/>
          <w:szCs w:val="20"/>
        </w:rPr>
      </w:pPr>
    </w:p>
    <w:p w14:paraId="1EE362F0" w14:textId="3AA8523E" w:rsidR="00D17E0B" w:rsidRDefault="00D17E0B" w:rsidP="006058B2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6058B2">
        <w:rPr>
          <w:rFonts w:ascii="Arial" w:hAnsi="Arial" w:cs="Arial"/>
          <w:b/>
          <w:bCs/>
          <w:sz w:val="18"/>
          <w:szCs w:val="18"/>
        </w:rPr>
        <w:t>Ouvrages individuels et collectifs :</w:t>
      </w:r>
    </w:p>
    <w:p w14:paraId="3D4CCAA7" w14:textId="77777777" w:rsidR="006058B2" w:rsidRPr="006058B2" w:rsidRDefault="006058B2" w:rsidP="006058B2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sz w:val="18"/>
          <w:szCs w:val="18"/>
        </w:rPr>
      </w:pPr>
    </w:p>
    <w:p w14:paraId="7398B7ED" w14:textId="35331405" w:rsidR="00D17E0B" w:rsidRPr="006058B2" w:rsidRDefault="00D17E0B" w:rsidP="006058B2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>Manuel « Droit international privé », Sirey, 4e éd.2017. (5e éd. A paraître en 2020)</w:t>
      </w:r>
    </w:p>
    <w:p w14:paraId="38EE8EC2" w14:textId="349FC202" w:rsidR="00D17E0B" w:rsidRPr="006058B2" w:rsidRDefault="00D17E0B" w:rsidP="006058B2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>Article « Aspects internationaux » de la rubrique « Couple » du Lamy droit patrimonial de la famille, 2e éd.2009.</w:t>
      </w:r>
    </w:p>
    <w:p w14:paraId="0DFC3336" w14:textId="77777777" w:rsidR="006058B2" w:rsidRDefault="00D17E0B" w:rsidP="006058B2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 xml:space="preserve">Fascicule « Règles générales et protection des incapables majeurs » du </w:t>
      </w:r>
      <w:proofErr w:type="spellStart"/>
      <w:r w:rsidRPr="00D17E0B">
        <w:rPr>
          <w:rFonts w:ascii="Arial" w:hAnsi="Arial" w:cs="Arial"/>
          <w:sz w:val="18"/>
          <w:szCs w:val="18"/>
        </w:rPr>
        <w:t>Juris-classeur</w:t>
      </w:r>
      <w:proofErr w:type="spellEnd"/>
      <w:r w:rsidRPr="00D17E0B">
        <w:rPr>
          <w:rFonts w:ascii="Arial" w:hAnsi="Arial" w:cs="Arial"/>
          <w:sz w:val="18"/>
          <w:szCs w:val="18"/>
        </w:rPr>
        <w:t xml:space="preserve"> de droit international, 2e éd.2015.</w:t>
      </w:r>
    </w:p>
    <w:p w14:paraId="5D23A082" w14:textId="77777777" w:rsidR="006058B2" w:rsidRDefault="006058B2" w:rsidP="006058B2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0A774A44" w14:textId="5044093F" w:rsidR="00D17E0B" w:rsidRPr="006058B2" w:rsidRDefault="00D17E0B" w:rsidP="006058B2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6058B2">
        <w:rPr>
          <w:rFonts w:ascii="Arial" w:hAnsi="Arial" w:cs="Arial"/>
          <w:b/>
          <w:bCs/>
          <w:sz w:val="18"/>
          <w:szCs w:val="18"/>
        </w:rPr>
        <w:t>Articles, notes et communications :</w:t>
      </w:r>
    </w:p>
    <w:p w14:paraId="552EDF69" w14:textId="0CB2E467" w:rsidR="00D17E0B" w:rsidRPr="006058B2" w:rsidRDefault="00D17E0B" w:rsidP="006058B2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 xml:space="preserve">« Le rôle de la volonté dans les règles de conflit de lois en-dehors des contrats » thèse </w:t>
      </w:r>
      <w:proofErr w:type="spellStart"/>
      <w:r w:rsidRPr="00D17E0B">
        <w:rPr>
          <w:rFonts w:ascii="Arial" w:hAnsi="Arial" w:cs="Arial"/>
          <w:sz w:val="18"/>
          <w:szCs w:val="18"/>
        </w:rPr>
        <w:t>dactyl</w:t>
      </w:r>
      <w:proofErr w:type="spellEnd"/>
      <w:r w:rsidRPr="00D17E0B">
        <w:rPr>
          <w:rFonts w:ascii="Arial" w:hAnsi="Arial" w:cs="Arial"/>
          <w:sz w:val="18"/>
          <w:szCs w:val="18"/>
        </w:rPr>
        <w:t>. Paris II Panthéon-Assas, 1993.</w:t>
      </w:r>
    </w:p>
    <w:p w14:paraId="12A99020" w14:textId="577EE3B3" w:rsidR="00D17E0B" w:rsidRPr="006058B2" w:rsidRDefault="00D17E0B" w:rsidP="006058B2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>Note sous Com.8 fév.1994(liste des créanciers, redressement judiciaire) JCP 1995 II 22451.</w:t>
      </w:r>
    </w:p>
    <w:p w14:paraId="4EACAD26" w14:textId="2BB8A9BB" w:rsidR="00D17E0B" w:rsidRPr="006058B2" w:rsidRDefault="00D17E0B" w:rsidP="006058B2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 xml:space="preserve">Note sous Civ.1ere 31 janv.1995(legs de </w:t>
      </w:r>
      <w:proofErr w:type="spellStart"/>
      <w:r w:rsidRPr="00D17E0B">
        <w:rPr>
          <w:rFonts w:ascii="Arial" w:hAnsi="Arial" w:cs="Arial"/>
          <w:sz w:val="18"/>
          <w:szCs w:val="18"/>
        </w:rPr>
        <w:t>residuo</w:t>
      </w:r>
      <w:proofErr w:type="spellEnd"/>
      <w:r w:rsidRPr="00D17E0B">
        <w:rPr>
          <w:rFonts w:ascii="Arial" w:hAnsi="Arial" w:cs="Arial"/>
          <w:sz w:val="18"/>
          <w:szCs w:val="18"/>
        </w:rPr>
        <w:t xml:space="preserve"> et atteinte à la réserve héréditaire), JCP 1995 II 22529.</w:t>
      </w:r>
    </w:p>
    <w:p w14:paraId="045570B0" w14:textId="215C970E" w:rsidR="00D17E0B" w:rsidRPr="006058B2" w:rsidRDefault="00D17E0B" w:rsidP="006058B2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D17E0B">
        <w:rPr>
          <w:rFonts w:ascii="Arial" w:hAnsi="Arial" w:cs="Arial"/>
          <w:sz w:val="18"/>
          <w:szCs w:val="18"/>
        </w:rPr>
        <w:t>« La conditions suspensive</w:t>
      </w:r>
      <w:proofErr w:type="gramEnd"/>
      <w:r w:rsidRPr="00D17E0B">
        <w:rPr>
          <w:rFonts w:ascii="Arial" w:hAnsi="Arial" w:cs="Arial"/>
          <w:sz w:val="18"/>
          <w:szCs w:val="18"/>
        </w:rPr>
        <w:t xml:space="preserve"> de non-exercice du droit de préemption, simple modalité ou élément constitutif du contrat ? » Répertoire Defrénois 1996.</w:t>
      </w:r>
    </w:p>
    <w:p w14:paraId="50DCC00F" w14:textId="6F02E866" w:rsidR="00D17E0B" w:rsidRPr="006058B2" w:rsidRDefault="00D17E0B" w:rsidP="006058B2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>Note sous Civ.1ere 20 fév.1996(ordre de réduction des libéralités et trust entre vifs) Répertoire Defrénois 1996.</w:t>
      </w:r>
    </w:p>
    <w:p w14:paraId="62ECCE1B" w14:textId="560BB656" w:rsidR="00D17E0B" w:rsidRPr="006058B2" w:rsidRDefault="00D17E0B" w:rsidP="006058B2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>Article : La loi du 28 octobre 1997(loi applicable au régime matrimonial) JCP 1998 I 146.</w:t>
      </w:r>
    </w:p>
    <w:p w14:paraId="28893018" w14:textId="309EC5E3" w:rsidR="00D17E0B" w:rsidRPr="006058B2" w:rsidRDefault="00D17E0B" w:rsidP="006058B2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>Note sous Civ.1ere 24 fév.1998(loi étrangère et partage inégal en matière de régime matrimonial) JCP 1998 II 10175.</w:t>
      </w:r>
    </w:p>
    <w:p w14:paraId="49A2027D" w14:textId="524775CC" w:rsidR="00D17E0B" w:rsidRPr="00BA288B" w:rsidRDefault="00D17E0B" w:rsidP="00BA288B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 xml:space="preserve">Article : « Réflexions sur le crédit immobilier en droit international privé » Etudes </w:t>
      </w:r>
      <w:proofErr w:type="spellStart"/>
      <w:proofErr w:type="gramStart"/>
      <w:r w:rsidRPr="00D17E0B">
        <w:rPr>
          <w:rFonts w:ascii="Arial" w:hAnsi="Arial" w:cs="Arial"/>
          <w:sz w:val="18"/>
          <w:szCs w:val="18"/>
        </w:rPr>
        <w:t>M.Cabrillac</w:t>
      </w:r>
      <w:proofErr w:type="spellEnd"/>
      <w:proofErr w:type="gramEnd"/>
      <w:r w:rsidRPr="00D17E0B">
        <w:rPr>
          <w:rFonts w:ascii="Arial" w:hAnsi="Arial" w:cs="Arial"/>
          <w:sz w:val="18"/>
          <w:szCs w:val="18"/>
        </w:rPr>
        <w:t>, Litec, 1999.</w:t>
      </w:r>
    </w:p>
    <w:p w14:paraId="0EF96052" w14:textId="494A80C5" w:rsidR="00D17E0B" w:rsidRPr="00BA288B" w:rsidRDefault="00D17E0B" w:rsidP="00BA288B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>Article « Preuve », Répertoire Dalloz droit international, 2000.</w:t>
      </w:r>
    </w:p>
    <w:p w14:paraId="2A1420F5" w14:textId="2E4D3D6E" w:rsidR="00D17E0B" w:rsidRPr="00BA288B" w:rsidRDefault="00D17E0B" w:rsidP="00BA288B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>Note sous Civ.1ere 6 juill.1999(loi applicable à un crédit immobilier international) JCP 2000 II 10443.</w:t>
      </w:r>
    </w:p>
    <w:p w14:paraId="1B917070" w14:textId="7F5CFF48" w:rsidR="00D17E0B" w:rsidRPr="00BA288B" w:rsidRDefault="00D17E0B" w:rsidP="00BA288B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>Note sous Civ.1ere 6 juill.1999(loi applicable à la filiation naturelle, relation entre les art.311-14 et 311-17 du Code civil), JCP 2000 II 10353.</w:t>
      </w:r>
    </w:p>
    <w:p w14:paraId="6D147645" w14:textId="7DC1F974" w:rsidR="00D17E0B" w:rsidRPr="00BA288B" w:rsidRDefault="00D17E0B" w:rsidP="00BA288B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>Note sous Civ.1ere 21 mars 2000(admission du renvoi en matière de succession immobilière), JCP 2000 II 10443.</w:t>
      </w:r>
    </w:p>
    <w:p w14:paraId="2F0FDED7" w14:textId="363F163B" w:rsidR="00D17E0B" w:rsidRPr="00BA288B" w:rsidRDefault="00D17E0B" w:rsidP="00BA288B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 xml:space="preserve">Note sous Civ.1ere 23 janv.2001(loi applicable à la forme d’un don manuel), Journal du droit </w:t>
      </w:r>
      <w:proofErr w:type="gramStart"/>
      <w:r w:rsidRPr="00D17E0B">
        <w:rPr>
          <w:rFonts w:ascii="Arial" w:hAnsi="Arial" w:cs="Arial"/>
          <w:sz w:val="18"/>
          <w:szCs w:val="18"/>
        </w:rPr>
        <w:t>international(</w:t>
      </w:r>
      <w:proofErr w:type="spellStart"/>
      <w:proofErr w:type="gramEnd"/>
      <w:r w:rsidRPr="00D17E0B">
        <w:rPr>
          <w:rFonts w:ascii="Arial" w:hAnsi="Arial" w:cs="Arial"/>
          <w:sz w:val="18"/>
          <w:szCs w:val="18"/>
        </w:rPr>
        <w:t>Clunet</w:t>
      </w:r>
      <w:proofErr w:type="spellEnd"/>
      <w:r w:rsidRPr="00D17E0B">
        <w:rPr>
          <w:rFonts w:ascii="Arial" w:hAnsi="Arial" w:cs="Arial"/>
          <w:sz w:val="18"/>
          <w:szCs w:val="18"/>
        </w:rPr>
        <w:t>) 2001 p 1113.</w:t>
      </w:r>
    </w:p>
    <w:p w14:paraId="72EB24B4" w14:textId="67D48D44" w:rsidR="00D17E0B" w:rsidRPr="00BA288B" w:rsidRDefault="00D17E0B" w:rsidP="00BA288B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>Note sous Civ.1ere 3 juill.2001(reconnaissance d’une répudiation intervenue à l’étranger), JCP 2002 II 10039.</w:t>
      </w:r>
    </w:p>
    <w:p w14:paraId="13ADA1C4" w14:textId="33453D90" w:rsidR="00D17E0B" w:rsidRPr="00BA288B" w:rsidRDefault="00D17E0B" w:rsidP="00BA288B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 xml:space="preserve">« Réflexions sur le rattachement des immeubles en droit international privé » Travaux du Comité français de droit international privé 2006-2008, </w:t>
      </w:r>
      <w:proofErr w:type="spellStart"/>
      <w:proofErr w:type="gramStart"/>
      <w:r w:rsidRPr="00D17E0B">
        <w:rPr>
          <w:rFonts w:ascii="Arial" w:hAnsi="Arial" w:cs="Arial"/>
          <w:sz w:val="18"/>
          <w:szCs w:val="18"/>
        </w:rPr>
        <w:t>Ed.Pedone</w:t>
      </w:r>
      <w:proofErr w:type="spellEnd"/>
      <w:proofErr w:type="gramEnd"/>
      <w:r w:rsidRPr="00D17E0B">
        <w:rPr>
          <w:rFonts w:ascii="Arial" w:hAnsi="Arial" w:cs="Arial"/>
          <w:sz w:val="18"/>
          <w:szCs w:val="18"/>
        </w:rPr>
        <w:t>.</w:t>
      </w:r>
    </w:p>
    <w:p w14:paraId="7A3D7887" w14:textId="0ACF5395" w:rsidR="00D17E0B" w:rsidRPr="00BA288B" w:rsidRDefault="00D17E0B" w:rsidP="00BA288B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>« Les injonctions du juge dans le contentieux international » Communication au colloque des directeurs d’IEJ de La Rochelle, 2007, non publié.</w:t>
      </w:r>
    </w:p>
    <w:p w14:paraId="460B68FC" w14:textId="62D525DC" w:rsidR="00D17E0B" w:rsidRPr="00BA288B" w:rsidRDefault="00D17E0B" w:rsidP="00BA288B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 xml:space="preserve">Compte rendu de la thèse de </w:t>
      </w:r>
      <w:proofErr w:type="spellStart"/>
      <w:r w:rsidRPr="00D17E0B">
        <w:rPr>
          <w:rFonts w:ascii="Arial" w:hAnsi="Arial" w:cs="Arial"/>
          <w:sz w:val="18"/>
          <w:szCs w:val="18"/>
        </w:rPr>
        <w:t>M.</w:t>
      </w:r>
      <w:proofErr w:type="gramStart"/>
      <w:r w:rsidRPr="00D17E0B">
        <w:rPr>
          <w:rFonts w:ascii="Arial" w:hAnsi="Arial" w:cs="Arial"/>
          <w:sz w:val="18"/>
          <w:szCs w:val="18"/>
        </w:rPr>
        <w:t>L.d’Avout</w:t>
      </w:r>
      <w:proofErr w:type="spellEnd"/>
      <w:proofErr w:type="gramEnd"/>
      <w:r w:rsidRPr="00D17E0B">
        <w:rPr>
          <w:rFonts w:ascii="Arial" w:hAnsi="Arial" w:cs="Arial"/>
          <w:sz w:val="18"/>
          <w:szCs w:val="18"/>
        </w:rPr>
        <w:t xml:space="preserve"> « Sur les solutions du conflit de lois en droit des biens » Journal du droit international(</w:t>
      </w:r>
      <w:proofErr w:type="spellStart"/>
      <w:r w:rsidRPr="00D17E0B">
        <w:rPr>
          <w:rFonts w:ascii="Arial" w:hAnsi="Arial" w:cs="Arial"/>
          <w:sz w:val="18"/>
          <w:szCs w:val="18"/>
        </w:rPr>
        <w:t>Clunet</w:t>
      </w:r>
      <w:proofErr w:type="spellEnd"/>
      <w:r w:rsidRPr="00D17E0B">
        <w:rPr>
          <w:rFonts w:ascii="Arial" w:hAnsi="Arial" w:cs="Arial"/>
          <w:sz w:val="18"/>
          <w:szCs w:val="18"/>
        </w:rPr>
        <w:t>) 2008 N°3.</w:t>
      </w:r>
    </w:p>
    <w:p w14:paraId="03107290" w14:textId="1FFC0393" w:rsidR="00D17E0B" w:rsidRPr="00BA288B" w:rsidRDefault="00D17E0B" w:rsidP="00BA288B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 xml:space="preserve">Note sous CJCE 16 déc.2008(mobilité des sociétés dans l’espace communautaire et critère du siège réel) Journal du droit </w:t>
      </w:r>
      <w:proofErr w:type="gramStart"/>
      <w:r w:rsidRPr="00D17E0B">
        <w:rPr>
          <w:rFonts w:ascii="Arial" w:hAnsi="Arial" w:cs="Arial"/>
          <w:sz w:val="18"/>
          <w:szCs w:val="18"/>
        </w:rPr>
        <w:t>international(</w:t>
      </w:r>
      <w:proofErr w:type="spellStart"/>
      <w:proofErr w:type="gramEnd"/>
      <w:r w:rsidRPr="00D17E0B">
        <w:rPr>
          <w:rFonts w:ascii="Arial" w:hAnsi="Arial" w:cs="Arial"/>
          <w:sz w:val="18"/>
          <w:szCs w:val="18"/>
        </w:rPr>
        <w:t>Clunet</w:t>
      </w:r>
      <w:proofErr w:type="spellEnd"/>
      <w:r w:rsidRPr="00D17E0B">
        <w:rPr>
          <w:rFonts w:ascii="Arial" w:hAnsi="Arial" w:cs="Arial"/>
          <w:sz w:val="18"/>
          <w:szCs w:val="18"/>
        </w:rPr>
        <w:t>) 2009 p 889.</w:t>
      </w:r>
    </w:p>
    <w:p w14:paraId="26E34811" w14:textId="2C5D46E7" w:rsidR="00D17E0B" w:rsidRPr="00BA288B" w:rsidRDefault="00D17E0B" w:rsidP="00BA288B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 xml:space="preserve">« Ordre public et reconnaissance » in Le droit entre tradition et modernité, Mélanges </w:t>
      </w:r>
      <w:proofErr w:type="spellStart"/>
      <w:proofErr w:type="gramStart"/>
      <w:r w:rsidRPr="00D17E0B">
        <w:rPr>
          <w:rFonts w:ascii="Arial" w:hAnsi="Arial" w:cs="Arial"/>
          <w:sz w:val="18"/>
          <w:szCs w:val="18"/>
        </w:rPr>
        <w:t>P.Courbe</w:t>
      </w:r>
      <w:proofErr w:type="spellEnd"/>
      <w:proofErr w:type="gramEnd"/>
      <w:r w:rsidRPr="00D17E0B">
        <w:rPr>
          <w:rFonts w:ascii="Arial" w:hAnsi="Arial" w:cs="Arial"/>
          <w:sz w:val="18"/>
          <w:szCs w:val="18"/>
        </w:rPr>
        <w:t>, Dalloz, 2012, p 527.</w:t>
      </w:r>
    </w:p>
    <w:p w14:paraId="44EC468F" w14:textId="0DDF0EBC" w:rsidR="00D17E0B" w:rsidRPr="00BA288B" w:rsidRDefault="00D17E0B" w:rsidP="00BA288B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 xml:space="preserve">« Sur quelques paradoxes contemporains de la territorialité » in Les relations privées internationales, Mélanges en l’honneur du Professeur </w:t>
      </w:r>
      <w:proofErr w:type="spellStart"/>
      <w:proofErr w:type="gramStart"/>
      <w:r w:rsidRPr="00D17E0B">
        <w:rPr>
          <w:rFonts w:ascii="Arial" w:hAnsi="Arial" w:cs="Arial"/>
          <w:sz w:val="18"/>
          <w:szCs w:val="18"/>
        </w:rPr>
        <w:t>B.Audit</w:t>
      </w:r>
      <w:proofErr w:type="spellEnd"/>
      <w:proofErr w:type="gramEnd"/>
      <w:r w:rsidRPr="00D17E0B">
        <w:rPr>
          <w:rFonts w:ascii="Arial" w:hAnsi="Arial" w:cs="Arial"/>
          <w:sz w:val="18"/>
          <w:szCs w:val="18"/>
        </w:rPr>
        <w:t>, LGDJ Lextenso, 2014, p 713.</w:t>
      </w:r>
    </w:p>
    <w:p w14:paraId="5179F929" w14:textId="7A6ACECB" w:rsidR="00D17E0B" w:rsidRPr="00BA288B" w:rsidRDefault="00D17E0B" w:rsidP="00BA288B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 xml:space="preserve">Note sous Civ.1ere 28 janv.2015(mariage homosexuel franco-marocain et Convention franco-marocaine) Journal du droit </w:t>
      </w:r>
      <w:proofErr w:type="gramStart"/>
      <w:r w:rsidRPr="00D17E0B">
        <w:rPr>
          <w:rFonts w:ascii="Arial" w:hAnsi="Arial" w:cs="Arial"/>
          <w:sz w:val="18"/>
          <w:szCs w:val="18"/>
        </w:rPr>
        <w:t>international(</w:t>
      </w:r>
      <w:proofErr w:type="spellStart"/>
      <w:proofErr w:type="gramEnd"/>
      <w:r w:rsidRPr="00D17E0B">
        <w:rPr>
          <w:rFonts w:ascii="Arial" w:hAnsi="Arial" w:cs="Arial"/>
          <w:sz w:val="18"/>
          <w:szCs w:val="18"/>
        </w:rPr>
        <w:t>Clunet</w:t>
      </w:r>
      <w:proofErr w:type="spellEnd"/>
      <w:r w:rsidRPr="00D17E0B">
        <w:rPr>
          <w:rFonts w:ascii="Arial" w:hAnsi="Arial" w:cs="Arial"/>
          <w:sz w:val="18"/>
          <w:szCs w:val="18"/>
        </w:rPr>
        <w:t xml:space="preserve">) 2015 p 613. </w:t>
      </w:r>
    </w:p>
    <w:p w14:paraId="122B64A4" w14:textId="2AE8B27D" w:rsidR="00D17E0B" w:rsidRPr="00BA288B" w:rsidRDefault="00D17E0B" w:rsidP="00BA288B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>Note sous Civ.1ere 15 mai 2018(succession internationale, renvoi) JCP 2018.</w:t>
      </w:r>
    </w:p>
    <w:p w14:paraId="69CCB0F6" w14:textId="00E6201B" w:rsidR="00D17E0B" w:rsidRPr="00BA288B" w:rsidRDefault="00D17E0B" w:rsidP="00BA288B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>Note sous Civ.1ere 4 juill.2018(succession immobilière internationale, ordre public) JCP 2018 N°1074.</w:t>
      </w:r>
    </w:p>
    <w:p w14:paraId="60E280A9" w14:textId="1306B333" w:rsidR="00D17E0B" w:rsidRPr="00BA288B" w:rsidRDefault="00D17E0B" w:rsidP="00BA288B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lastRenderedPageBreak/>
        <w:t xml:space="preserve">« La mutation immobilière internationale » Rapport de synthèse, colloque ARNU, Montpellier, Répertoire Defrénois 2018, N°43. </w:t>
      </w:r>
    </w:p>
    <w:p w14:paraId="4F8A2C50" w14:textId="564B853D" w:rsidR="007878EB" w:rsidRPr="00BA288B" w:rsidRDefault="00D17E0B" w:rsidP="00BA288B">
      <w:pPr>
        <w:pStyle w:val="Paragraphedelist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  <w:szCs w:val="18"/>
        </w:rPr>
      </w:pPr>
      <w:r w:rsidRPr="00D17E0B">
        <w:rPr>
          <w:rFonts w:ascii="Arial" w:hAnsi="Arial" w:cs="Arial"/>
          <w:sz w:val="18"/>
          <w:szCs w:val="18"/>
        </w:rPr>
        <w:t xml:space="preserve">Note sous Civ.1ere 13 juin 2019(acte public étranger, légalisation, apostille) à paraître au Journal du droit </w:t>
      </w:r>
      <w:proofErr w:type="gramStart"/>
      <w:r w:rsidRPr="00D17E0B">
        <w:rPr>
          <w:rFonts w:ascii="Arial" w:hAnsi="Arial" w:cs="Arial"/>
          <w:sz w:val="18"/>
          <w:szCs w:val="18"/>
        </w:rPr>
        <w:t>international(</w:t>
      </w:r>
      <w:proofErr w:type="spellStart"/>
      <w:proofErr w:type="gramEnd"/>
      <w:r w:rsidRPr="00D17E0B">
        <w:rPr>
          <w:rFonts w:ascii="Arial" w:hAnsi="Arial" w:cs="Arial"/>
          <w:sz w:val="18"/>
          <w:szCs w:val="18"/>
        </w:rPr>
        <w:t>Clunet</w:t>
      </w:r>
      <w:proofErr w:type="spellEnd"/>
      <w:r w:rsidRPr="00D17E0B">
        <w:rPr>
          <w:rFonts w:ascii="Arial" w:hAnsi="Arial" w:cs="Arial"/>
          <w:sz w:val="18"/>
          <w:szCs w:val="18"/>
        </w:rPr>
        <w:t xml:space="preserve">) N°4, 2019.          </w:t>
      </w:r>
    </w:p>
    <w:sectPr w:rsidR="007878EB" w:rsidRPr="00BA288B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6A420" w14:textId="77777777" w:rsidR="00B8457A" w:rsidRDefault="00B8457A" w:rsidP="00F342F6">
      <w:r>
        <w:separator/>
      </w:r>
    </w:p>
  </w:endnote>
  <w:endnote w:type="continuationSeparator" w:id="0">
    <w:p w14:paraId="2340D849" w14:textId="77777777" w:rsidR="00B8457A" w:rsidRDefault="00B8457A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CB825" w14:textId="77777777" w:rsidR="00B8457A" w:rsidRDefault="00B8457A" w:rsidP="00F342F6">
      <w:r>
        <w:separator/>
      </w:r>
    </w:p>
  </w:footnote>
  <w:footnote w:type="continuationSeparator" w:id="0">
    <w:p w14:paraId="44661CC5" w14:textId="77777777" w:rsidR="00B8457A" w:rsidRDefault="00B8457A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D4B"/>
    <w:multiLevelType w:val="hybridMultilevel"/>
    <w:tmpl w:val="BAD624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59A3"/>
    <w:multiLevelType w:val="hybridMultilevel"/>
    <w:tmpl w:val="36886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7F56"/>
    <w:multiLevelType w:val="hybridMultilevel"/>
    <w:tmpl w:val="24EE082A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D251F"/>
    <w:multiLevelType w:val="hybridMultilevel"/>
    <w:tmpl w:val="9D28A0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669A6"/>
    <w:multiLevelType w:val="hybridMultilevel"/>
    <w:tmpl w:val="AE36C95A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324D9"/>
    <w:multiLevelType w:val="hybridMultilevel"/>
    <w:tmpl w:val="967A7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F7599"/>
    <w:multiLevelType w:val="hybridMultilevel"/>
    <w:tmpl w:val="B9823EEA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A2E32"/>
    <w:multiLevelType w:val="hybridMultilevel"/>
    <w:tmpl w:val="A2122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E7682"/>
    <w:multiLevelType w:val="hybridMultilevel"/>
    <w:tmpl w:val="8118D860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30056"/>
    <w:multiLevelType w:val="hybridMultilevel"/>
    <w:tmpl w:val="D7D24550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24EA9"/>
    <w:multiLevelType w:val="hybridMultilevel"/>
    <w:tmpl w:val="C2EEC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94DFC"/>
    <w:multiLevelType w:val="hybridMultilevel"/>
    <w:tmpl w:val="20F0D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63DC2"/>
    <w:multiLevelType w:val="hybridMultilevel"/>
    <w:tmpl w:val="E76E2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15BB"/>
    <w:multiLevelType w:val="hybridMultilevel"/>
    <w:tmpl w:val="07F813EE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028A4"/>
    <w:multiLevelType w:val="hybridMultilevel"/>
    <w:tmpl w:val="DF94B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8387D"/>
    <w:multiLevelType w:val="hybridMultilevel"/>
    <w:tmpl w:val="8A60F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320D3"/>
    <w:multiLevelType w:val="hybridMultilevel"/>
    <w:tmpl w:val="D98EC396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95373"/>
    <w:multiLevelType w:val="hybridMultilevel"/>
    <w:tmpl w:val="3B2677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91743"/>
    <w:multiLevelType w:val="hybridMultilevel"/>
    <w:tmpl w:val="BCB01C2E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028BF"/>
    <w:multiLevelType w:val="hybridMultilevel"/>
    <w:tmpl w:val="A0C06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9611C"/>
    <w:multiLevelType w:val="hybridMultilevel"/>
    <w:tmpl w:val="2F3C7190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D700A"/>
    <w:multiLevelType w:val="hybridMultilevel"/>
    <w:tmpl w:val="9F00652C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A2165"/>
    <w:multiLevelType w:val="hybridMultilevel"/>
    <w:tmpl w:val="A8C063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95C57"/>
    <w:multiLevelType w:val="hybridMultilevel"/>
    <w:tmpl w:val="73C4999E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354FD"/>
    <w:multiLevelType w:val="hybridMultilevel"/>
    <w:tmpl w:val="5094B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B458C"/>
    <w:multiLevelType w:val="hybridMultilevel"/>
    <w:tmpl w:val="412C9AA4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F2A18"/>
    <w:multiLevelType w:val="hybridMultilevel"/>
    <w:tmpl w:val="3C5A9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B7C61"/>
    <w:multiLevelType w:val="hybridMultilevel"/>
    <w:tmpl w:val="CD6E7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95224"/>
    <w:multiLevelType w:val="hybridMultilevel"/>
    <w:tmpl w:val="F9DE514C"/>
    <w:lvl w:ilvl="0" w:tplc="8AAC485A">
      <w:start w:val="1"/>
      <w:numFmt w:val="bullet"/>
      <w:lvlText w:val="-"/>
      <w:lvlJc w:val="left"/>
      <w:pPr>
        <w:ind w:left="720" w:hanging="360"/>
      </w:pPr>
      <w:rPr>
        <w:rFonts w:ascii="Work Sans" w:hAnsi="Work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33686"/>
    <w:multiLevelType w:val="hybridMultilevel"/>
    <w:tmpl w:val="884C3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2"/>
  </w:num>
  <w:num w:numId="5">
    <w:abstractNumId w:val="2"/>
  </w:num>
  <w:num w:numId="6">
    <w:abstractNumId w:val="0"/>
  </w:num>
  <w:num w:numId="7">
    <w:abstractNumId w:val="8"/>
  </w:num>
  <w:num w:numId="8">
    <w:abstractNumId w:val="14"/>
  </w:num>
  <w:num w:numId="9">
    <w:abstractNumId w:val="16"/>
  </w:num>
  <w:num w:numId="10">
    <w:abstractNumId w:val="10"/>
  </w:num>
  <w:num w:numId="11">
    <w:abstractNumId w:val="20"/>
  </w:num>
  <w:num w:numId="12">
    <w:abstractNumId w:val="26"/>
  </w:num>
  <w:num w:numId="13">
    <w:abstractNumId w:val="25"/>
  </w:num>
  <w:num w:numId="14">
    <w:abstractNumId w:val="7"/>
  </w:num>
  <w:num w:numId="15">
    <w:abstractNumId w:val="18"/>
  </w:num>
  <w:num w:numId="16">
    <w:abstractNumId w:val="19"/>
  </w:num>
  <w:num w:numId="17">
    <w:abstractNumId w:val="28"/>
  </w:num>
  <w:num w:numId="18">
    <w:abstractNumId w:val="1"/>
  </w:num>
  <w:num w:numId="19">
    <w:abstractNumId w:val="9"/>
  </w:num>
  <w:num w:numId="20">
    <w:abstractNumId w:val="24"/>
  </w:num>
  <w:num w:numId="21">
    <w:abstractNumId w:val="21"/>
  </w:num>
  <w:num w:numId="22">
    <w:abstractNumId w:val="29"/>
  </w:num>
  <w:num w:numId="23">
    <w:abstractNumId w:val="22"/>
  </w:num>
  <w:num w:numId="24">
    <w:abstractNumId w:val="23"/>
  </w:num>
  <w:num w:numId="25">
    <w:abstractNumId w:val="27"/>
  </w:num>
  <w:num w:numId="26">
    <w:abstractNumId w:val="4"/>
  </w:num>
  <w:num w:numId="27">
    <w:abstractNumId w:val="3"/>
  </w:num>
  <w:num w:numId="28">
    <w:abstractNumId w:val="13"/>
  </w:num>
  <w:num w:numId="29">
    <w:abstractNumId w:val="17"/>
  </w:num>
  <w:num w:numId="30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A7E8F"/>
    <w:rsid w:val="000B4242"/>
    <w:rsid w:val="000B6D39"/>
    <w:rsid w:val="000C1D09"/>
    <w:rsid w:val="000D3D3F"/>
    <w:rsid w:val="000E1A81"/>
    <w:rsid w:val="000E5D31"/>
    <w:rsid w:val="000F1F6A"/>
    <w:rsid w:val="000F24C4"/>
    <w:rsid w:val="0011255E"/>
    <w:rsid w:val="001306B9"/>
    <w:rsid w:val="0014540B"/>
    <w:rsid w:val="00181BA5"/>
    <w:rsid w:val="00191863"/>
    <w:rsid w:val="00195D8C"/>
    <w:rsid w:val="001D485D"/>
    <w:rsid w:val="001F6C66"/>
    <w:rsid w:val="0020609E"/>
    <w:rsid w:val="002333AF"/>
    <w:rsid w:val="002A3B7F"/>
    <w:rsid w:val="002D7F33"/>
    <w:rsid w:val="002F64FD"/>
    <w:rsid w:val="0032588D"/>
    <w:rsid w:val="00327DE4"/>
    <w:rsid w:val="0033033D"/>
    <w:rsid w:val="0033345C"/>
    <w:rsid w:val="003473EA"/>
    <w:rsid w:val="003573AB"/>
    <w:rsid w:val="003A1D74"/>
    <w:rsid w:val="003A5877"/>
    <w:rsid w:val="003E2FD0"/>
    <w:rsid w:val="00403D39"/>
    <w:rsid w:val="00406D92"/>
    <w:rsid w:val="00422A7E"/>
    <w:rsid w:val="00425E65"/>
    <w:rsid w:val="004373F3"/>
    <w:rsid w:val="00462905"/>
    <w:rsid w:val="00474C5A"/>
    <w:rsid w:val="00480A91"/>
    <w:rsid w:val="0048140F"/>
    <w:rsid w:val="004B22AC"/>
    <w:rsid w:val="004C4053"/>
    <w:rsid w:val="00511B0B"/>
    <w:rsid w:val="005259DD"/>
    <w:rsid w:val="00564338"/>
    <w:rsid w:val="00571DA3"/>
    <w:rsid w:val="005C23E8"/>
    <w:rsid w:val="005E076B"/>
    <w:rsid w:val="005E16F1"/>
    <w:rsid w:val="005E2F50"/>
    <w:rsid w:val="005F719D"/>
    <w:rsid w:val="006058B2"/>
    <w:rsid w:val="00613839"/>
    <w:rsid w:val="0062322B"/>
    <w:rsid w:val="00643436"/>
    <w:rsid w:val="00646C17"/>
    <w:rsid w:val="006824D9"/>
    <w:rsid w:val="00686F12"/>
    <w:rsid w:val="00720921"/>
    <w:rsid w:val="0073170B"/>
    <w:rsid w:val="00737533"/>
    <w:rsid w:val="00747BB3"/>
    <w:rsid w:val="007878EB"/>
    <w:rsid w:val="007B5FB2"/>
    <w:rsid w:val="00812ACC"/>
    <w:rsid w:val="00815B45"/>
    <w:rsid w:val="00832F66"/>
    <w:rsid w:val="008359B5"/>
    <w:rsid w:val="00854B87"/>
    <w:rsid w:val="00887E28"/>
    <w:rsid w:val="008E1028"/>
    <w:rsid w:val="008E1566"/>
    <w:rsid w:val="008F6F82"/>
    <w:rsid w:val="009673BF"/>
    <w:rsid w:val="0098770C"/>
    <w:rsid w:val="009B2F45"/>
    <w:rsid w:val="00A22947"/>
    <w:rsid w:val="00A257E7"/>
    <w:rsid w:val="00A25C27"/>
    <w:rsid w:val="00A6224B"/>
    <w:rsid w:val="00A75081"/>
    <w:rsid w:val="00A75FCA"/>
    <w:rsid w:val="00A8650D"/>
    <w:rsid w:val="00A90834"/>
    <w:rsid w:val="00A93D10"/>
    <w:rsid w:val="00AA2254"/>
    <w:rsid w:val="00AA380B"/>
    <w:rsid w:val="00AF6BD2"/>
    <w:rsid w:val="00B111D3"/>
    <w:rsid w:val="00B360EC"/>
    <w:rsid w:val="00B61D6B"/>
    <w:rsid w:val="00B7791E"/>
    <w:rsid w:val="00B82446"/>
    <w:rsid w:val="00B8457A"/>
    <w:rsid w:val="00B97B71"/>
    <w:rsid w:val="00BA288B"/>
    <w:rsid w:val="00BA483D"/>
    <w:rsid w:val="00BE4192"/>
    <w:rsid w:val="00C862CD"/>
    <w:rsid w:val="00CD2B2D"/>
    <w:rsid w:val="00CE4422"/>
    <w:rsid w:val="00CE7652"/>
    <w:rsid w:val="00CF09F4"/>
    <w:rsid w:val="00CF6BE2"/>
    <w:rsid w:val="00D17E0B"/>
    <w:rsid w:val="00DC7CFE"/>
    <w:rsid w:val="00E01C44"/>
    <w:rsid w:val="00E24318"/>
    <w:rsid w:val="00E26FFC"/>
    <w:rsid w:val="00E61555"/>
    <w:rsid w:val="00E95D45"/>
    <w:rsid w:val="00EA0718"/>
    <w:rsid w:val="00F16D5B"/>
    <w:rsid w:val="00F342F6"/>
    <w:rsid w:val="00F35902"/>
    <w:rsid w:val="00F61438"/>
    <w:rsid w:val="00F74F90"/>
    <w:rsid w:val="00F83E6B"/>
    <w:rsid w:val="00F85500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0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B81BF0-0973-4A6D-A4E5-60E094BD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</cp:revision>
  <cp:lastPrinted>2020-09-11T13:24:00Z</cp:lastPrinted>
  <dcterms:created xsi:type="dcterms:W3CDTF">2022-06-30T06:53:00Z</dcterms:created>
  <dcterms:modified xsi:type="dcterms:W3CDTF">2022-06-30T06:53:00Z</dcterms:modified>
</cp:coreProperties>
</file>